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FC8B3" w14:textId="1A7D6D97" w:rsidR="00644844" w:rsidRDefault="00644844" w:rsidP="001541C7">
      <w:pPr>
        <w:tabs>
          <w:tab w:val="left" w:pos="5245"/>
        </w:tabs>
        <w:rPr>
          <w:rFonts w:eastAsiaTheme="minorHAnsi" w:cstheme="minorBidi"/>
          <w:szCs w:val="22"/>
          <w:lang w:val="en-GB"/>
        </w:rPr>
      </w:pPr>
      <w:r>
        <w:rPr>
          <w:noProof/>
          <w:lang w:val="en-GB"/>
        </w:rPr>
        <w:drawing>
          <wp:inline distT="0" distB="0" distL="0" distR="0" wp14:anchorId="726664DB" wp14:editId="5FF6CF59">
            <wp:extent cx="1799590" cy="1228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9590" cy="1228725"/>
                    </a:xfrm>
                    <a:prstGeom prst="rect">
                      <a:avLst/>
                    </a:prstGeom>
                    <a:noFill/>
                    <a:ln>
                      <a:noFill/>
                    </a:ln>
                  </pic:spPr>
                </pic:pic>
              </a:graphicData>
            </a:graphic>
          </wp:inline>
        </w:drawing>
      </w:r>
    </w:p>
    <w:p w14:paraId="33D37BAE" w14:textId="6DB57121" w:rsidR="00644844" w:rsidRPr="0048214F" w:rsidRDefault="00644844" w:rsidP="00644844">
      <w:pPr>
        <w:tabs>
          <w:tab w:val="left" w:pos="1480"/>
        </w:tabs>
        <w:jc w:val="right"/>
        <w:rPr>
          <w:rFonts w:ascii="Verdana" w:eastAsiaTheme="minorHAnsi" w:hAnsi="Verdana" w:cstheme="minorBidi"/>
          <w:lang w:val="en-GB"/>
        </w:rPr>
      </w:pPr>
      <w:r w:rsidRPr="0048214F">
        <w:rPr>
          <w:rFonts w:eastAsiaTheme="minorHAnsi" w:cstheme="minorBidi"/>
          <w:sz w:val="20"/>
          <w:szCs w:val="20"/>
          <w:lang w:val="en-GB"/>
        </w:rPr>
        <w:br/>
      </w:r>
      <w:r w:rsidRPr="0048214F">
        <w:rPr>
          <w:rFonts w:ascii="Verdana" w:eastAsiaTheme="minorHAnsi" w:hAnsi="Verdana" w:cstheme="minorBidi"/>
          <w:sz w:val="20"/>
          <w:szCs w:val="20"/>
          <w:lang w:val="en-GB"/>
        </w:rPr>
        <w:t>EIOPA-</w:t>
      </w:r>
      <w:r w:rsidR="00C27946" w:rsidRPr="0048214F" w:rsidDel="00C27946">
        <w:rPr>
          <w:rFonts w:ascii="Verdana" w:eastAsiaTheme="minorHAnsi" w:hAnsi="Verdana" w:cstheme="minorBidi"/>
          <w:sz w:val="20"/>
          <w:szCs w:val="20"/>
          <w:lang w:val="en-GB"/>
        </w:rPr>
        <w:t xml:space="preserve"> </w:t>
      </w:r>
      <w:sdt>
        <w:sdtPr>
          <w:rPr>
            <w:rFonts w:ascii="Verdana" w:eastAsiaTheme="minorHAnsi" w:hAnsi="Verdana" w:cstheme="minorBidi"/>
            <w:sz w:val="20"/>
            <w:szCs w:val="20"/>
          </w:rPr>
          <w:id w:val="-1605414361"/>
        </w:sdtPr>
        <w:sdtEndPr/>
        <w:sdtContent>
          <w:r w:rsidR="001541C7" w:rsidRPr="0048214F">
            <w:rPr>
              <w:rFonts w:ascii="Verdana" w:eastAsiaTheme="minorHAnsi" w:hAnsi="Verdana" w:cstheme="minorBidi"/>
              <w:sz w:val="20"/>
              <w:szCs w:val="20"/>
              <w:lang w:val="en-GB"/>
            </w:rPr>
            <w:t>2</w:t>
          </w:r>
          <w:r w:rsidR="00C27946">
            <w:rPr>
              <w:rFonts w:ascii="Verdana" w:eastAsiaTheme="minorHAnsi" w:hAnsi="Verdana" w:cstheme="minorBidi"/>
              <w:sz w:val="20"/>
              <w:szCs w:val="20"/>
              <w:lang w:val="en-GB"/>
            </w:rPr>
            <w:t>2</w:t>
          </w:r>
          <w:r w:rsidR="001541C7" w:rsidRPr="0048214F">
            <w:rPr>
              <w:rFonts w:ascii="Verdana" w:eastAsiaTheme="minorHAnsi" w:hAnsi="Verdana" w:cstheme="minorBidi"/>
              <w:sz w:val="20"/>
              <w:szCs w:val="20"/>
              <w:lang w:val="en-GB"/>
            </w:rPr>
            <w:t>/</w:t>
          </w:r>
          <w:r w:rsidR="00C27946">
            <w:rPr>
              <w:rFonts w:ascii="Verdana" w:eastAsiaTheme="minorHAnsi" w:hAnsi="Verdana" w:cstheme="minorBidi"/>
              <w:sz w:val="20"/>
              <w:szCs w:val="20"/>
              <w:lang w:val="en-GB"/>
            </w:rPr>
            <w:t>166</w:t>
          </w:r>
        </w:sdtContent>
      </w:sdt>
      <w:r w:rsidRPr="0048214F">
        <w:rPr>
          <w:rFonts w:ascii="Verdana" w:eastAsiaTheme="minorHAnsi" w:hAnsi="Verdana" w:cstheme="minorBidi"/>
          <w:sz w:val="20"/>
          <w:szCs w:val="20"/>
          <w:lang w:val="en-GB"/>
        </w:rPr>
        <w:br/>
      </w:r>
      <w:sdt>
        <w:sdtPr>
          <w:rPr>
            <w:rFonts w:ascii="Verdana" w:eastAsiaTheme="minorHAnsi" w:hAnsi="Verdana" w:cstheme="minorBidi"/>
            <w:sz w:val="20"/>
            <w:szCs w:val="20"/>
          </w:rPr>
          <w:id w:val="-113525082"/>
        </w:sdtPr>
        <w:sdtEndPr/>
        <w:sdtContent>
          <w:sdt>
            <w:sdtPr>
              <w:rPr>
                <w:rFonts w:ascii="Verdana" w:eastAsiaTheme="minorHAnsi" w:hAnsi="Verdana" w:cstheme="minorBidi"/>
                <w:sz w:val="20"/>
                <w:szCs w:val="20"/>
              </w:rPr>
              <w:id w:val="276770184"/>
            </w:sdtPr>
            <w:sdtEndPr/>
            <w:sdtContent>
              <w:sdt>
                <w:sdtPr>
                  <w:rPr>
                    <w:rFonts w:ascii="Verdana" w:eastAsiaTheme="minorHAnsi" w:hAnsi="Verdana" w:cstheme="minorBidi"/>
                    <w:sz w:val="20"/>
                    <w:szCs w:val="20"/>
                  </w:rPr>
                  <w:id w:val="142479257"/>
                </w:sdtPr>
                <w:sdtEndPr/>
                <w:sdtContent>
                  <w:r w:rsidR="00BC3781">
                    <w:rPr>
                      <w:rFonts w:ascii="Verdana" w:eastAsiaTheme="minorHAnsi" w:hAnsi="Verdana" w:cstheme="minorBidi"/>
                      <w:sz w:val="20"/>
                      <w:szCs w:val="20"/>
                      <w:lang w:val="en-GB"/>
                    </w:rPr>
                    <w:t>07 March</w:t>
                  </w:r>
                  <w:r w:rsidRPr="0048214F">
                    <w:rPr>
                      <w:rFonts w:ascii="Verdana" w:eastAsiaTheme="minorHAnsi" w:hAnsi="Verdana" w:cstheme="minorBidi"/>
                      <w:sz w:val="20"/>
                      <w:szCs w:val="20"/>
                      <w:lang w:val="en-GB"/>
                    </w:rPr>
                    <w:t xml:space="preserve"> 202</w:t>
                  </w:r>
                  <w:r w:rsidR="00C27946">
                    <w:rPr>
                      <w:rFonts w:ascii="Verdana" w:eastAsiaTheme="minorHAnsi" w:hAnsi="Verdana" w:cstheme="minorBidi"/>
                      <w:sz w:val="20"/>
                      <w:szCs w:val="20"/>
                      <w:lang w:val="en-GB"/>
                    </w:rPr>
                    <w:t>2</w:t>
                  </w:r>
                </w:sdtContent>
              </w:sdt>
            </w:sdtContent>
          </w:sdt>
        </w:sdtContent>
      </w:sdt>
    </w:p>
    <w:p w14:paraId="533C9767" w14:textId="77777777" w:rsidR="00644844" w:rsidRPr="0048214F" w:rsidRDefault="00644844" w:rsidP="00644844">
      <w:pPr>
        <w:jc w:val="center"/>
        <w:rPr>
          <w:rFonts w:eastAsiaTheme="minorHAnsi" w:cstheme="minorBidi"/>
          <w:color w:val="0563C1" w:themeColor="hyperlink"/>
          <w:szCs w:val="22"/>
          <w:lang w:val="en-GB"/>
        </w:rPr>
      </w:pPr>
    </w:p>
    <w:p w14:paraId="56893869" w14:textId="77777777" w:rsidR="00644844" w:rsidRPr="0048214F" w:rsidRDefault="00644844" w:rsidP="00644844">
      <w:pPr>
        <w:jc w:val="center"/>
        <w:rPr>
          <w:rFonts w:eastAsiaTheme="minorHAnsi" w:cstheme="minorBidi"/>
          <w:lang w:val="en-GB"/>
        </w:rPr>
      </w:pPr>
    </w:p>
    <w:p w14:paraId="694606DC" w14:textId="77777777" w:rsidR="00644844" w:rsidRPr="0048214F" w:rsidRDefault="00644844" w:rsidP="00644844">
      <w:pPr>
        <w:shd w:val="clear" w:color="auto" w:fill="D0E7F6"/>
        <w:spacing w:before="240"/>
        <w:jc w:val="center"/>
        <w:rPr>
          <w:rFonts w:eastAsiaTheme="majorEastAsia" w:cstheme="majorBidi"/>
          <w:b/>
          <w:spacing w:val="5"/>
          <w:kern w:val="28"/>
          <w:sz w:val="40"/>
          <w:szCs w:val="40"/>
          <w:lang w:val="en-GB"/>
        </w:rPr>
      </w:pPr>
    </w:p>
    <w:p w14:paraId="3E820348" w14:textId="468CFE14" w:rsidR="00644844" w:rsidRPr="0048214F" w:rsidRDefault="00644844" w:rsidP="00644844">
      <w:pPr>
        <w:shd w:val="clear" w:color="auto" w:fill="D0E7F6"/>
        <w:spacing w:before="240" w:line="360" w:lineRule="auto"/>
        <w:jc w:val="center"/>
        <w:rPr>
          <w:rFonts w:ascii="Verdana" w:eastAsia="MS Mincho" w:hAnsi="Verdana"/>
          <w:b/>
          <w:bCs/>
          <w:sz w:val="40"/>
          <w:szCs w:val="40"/>
          <w:lang w:val="en-GB" w:eastAsia="de-DE"/>
          <w14:shadow w14:blurRad="50800" w14:dist="38100" w14:dir="0" w14:sx="100000" w14:sy="100000" w14:kx="0" w14:ky="0" w14:algn="l">
            <w14:srgbClr w14:val="000000">
              <w14:alpha w14:val="60000"/>
            </w14:srgbClr>
          </w14:shadow>
        </w:rPr>
      </w:pPr>
      <w:r w:rsidRPr="0048214F">
        <w:rPr>
          <w:rFonts w:ascii="Verdana" w:eastAsia="MS Mincho" w:hAnsi="Verdana"/>
          <w:b/>
          <w:bCs/>
          <w:sz w:val="40"/>
          <w:szCs w:val="40"/>
          <w:lang w:val="en-GB" w:eastAsia="de-DE"/>
          <w14:shadow w14:blurRad="50800" w14:dist="38100" w14:dir="0" w14:sx="100000" w14:sy="100000" w14:kx="0" w14:ky="0" w14:algn="l">
            <w14:srgbClr w14:val="000000">
              <w14:alpha w14:val="60000"/>
            </w14:srgbClr>
          </w14:shadow>
        </w:rPr>
        <w:t xml:space="preserve">Draft Commission Implementing Regulation (EU) </w:t>
      </w:r>
      <w:r w:rsidR="00300A31" w:rsidRPr="00300A31">
        <w:rPr>
          <w:rFonts w:ascii="Verdana" w:eastAsia="MS Mincho" w:hAnsi="Verdana"/>
          <w:b/>
          <w:bCs/>
          <w:sz w:val="40"/>
          <w:szCs w:val="40"/>
          <w:lang w:val="en-GB" w:eastAsia="de-DE"/>
          <w14:shadow w14:blurRad="50800" w14:dist="38100" w14:dir="0" w14:sx="100000" w14:sy="100000" w14:kx="0" w14:ky="0" w14:algn="l">
            <w14:srgbClr w14:val="000000">
              <w14:alpha w14:val="60000"/>
            </w14:srgbClr>
          </w14:shadow>
        </w:rPr>
        <w:t>xxx/xxx of x xxx xxxx</w:t>
      </w:r>
      <w:bookmarkStart w:id="0" w:name="_GoBack"/>
      <w:bookmarkEnd w:id="0"/>
      <w:r w:rsidRPr="0048214F">
        <w:rPr>
          <w:rFonts w:ascii="Verdana" w:eastAsia="MS Mincho" w:hAnsi="Verdana"/>
          <w:b/>
          <w:bCs/>
          <w:sz w:val="40"/>
          <w:szCs w:val="40"/>
          <w:lang w:val="en-GB" w:eastAsia="de-DE"/>
          <w14:shadow w14:blurRad="50800" w14:dist="38100" w14:dir="0" w14:sx="100000" w14:sy="100000" w14:kx="0" w14:ky="0" w14:algn="l">
            <w14:srgbClr w14:val="000000">
              <w14:alpha w14:val="60000"/>
            </w14:srgbClr>
          </w14:shadow>
        </w:rPr>
        <w:t xml:space="preserve"> laying down implementing technical standards with regard to the procedures, formats and templates of the solvency and financial condition report</w:t>
      </w:r>
    </w:p>
    <w:p w14:paraId="1CC4C770" w14:textId="77777777" w:rsidR="00644844" w:rsidRPr="0048214F" w:rsidRDefault="00644844" w:rsidP="00644844">
      <w:pPr>
        <w:spacing w:after="200" w:line="276" w:lineRule="auto"/>
        <w:rPr>
          <w:rFonts w:eastAsia="Times New Roman"/>
          <w:lang w:val="en-GB"/>
        </w:rPr>
      </w:pPr>
      <w:r w:rsidRPr="0048214F">
        <w:rPr>
          <w:lang w:val="en-GB"/>
        </w:rPr>
        <w:br w:type="page"/>
      </w:r>
    </w:p>
    <w:p w14:paraId="4423C4D7" w14:textId="77777777" w:rsidR="00644844" w:rsidRPr="0048214F" w:rsidRDefault="00644844" w:rsidP="00644844">
      <w:pPr>
        <w:rPr>
          <w:lang w:val="en-GB"/>
        </w:rPr>
      </w:pPr>
    </w:p>
    <w:p w14:paraId="2B434BF1" w14:textId="5BB6489B" w:rsidR="00644844" w:rsidRDefault="00644844" w:rsidP="00644844">
      <w:pPr>
        <w:spacing w:after="200" w:line="276" w:lineRule="auto"/>
        <w:rPr>
          <w:b/>
          <w:lang w:eastAsia="de-DE"/>
        </w:rPr>
      </w:pPr>
      <w:r>
        <w:rPr>
          <w:noProof/>
          <w:lang w:val="en-GB"/>
        </w:rPr>
        <mc:AlternateContent>
          <mc:Choice Requires="wpc">
            <w:drawing>
              <wp:inline distT="0" distB="0" distL="0" distR="0" wp14:anchorId="0B846D6B" wp14:editId="686DE9FC">
                <wp:extent cx="5785529" cy="3559175"/>
                <wp:effectExtent l="0" t="0" r="5715" b="0"/>
                <wp:docPr id="35" name="Canvas 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74"/>
                        <wps:cNvSpPr>
                          <a:spLocks noChangeArrowheads="1"/>
                        </wps:cNvSpPr>
                        <wps:spPr bwMode="auto">
                          <a:xfrm>
                            <a:off x="8800" y="5700"/>
                            <a:ext cx="425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6E432" w14:textId="77777777" w:rsidR="00644844" w:rsidRDefault="00644844" w:rsidP="00644844">
                              <w:r>
                                <w:rPr>
                                  <w:rFonts w:ascii="Arial" w:hAnsi="Arial" w:cs="Arial"/>
                                  <w:color w:val="000000"/>
                                  <w:lang w:val="en-US"/>
                                </w:rPr>
                                <w:t xml:space="preserve"> </w:t>
                              </w:r>
                            </w:p>
                          </w:txbxContent>
                        </wps:txbx>
                        <wps:bodyPr rot="0" vert="horz" wrap="none" lIns="0" tIns="0" rIns="0" bIns="0" anchor="t" anchorCtr="0" upright="1">
                          <a:spAutoFit/>
                        </wps:bodyPr>
                      </wps:wsp>
                      <wpg:wgp>
                        <wpg:cNvPr id="3" name="Group 75"/>
                        <wpg:cNvGrpSpPr>
                          <a:grpSpLocks/>
                        </wpg:cNvGrpSpPr>
                        <wpg:grpSpPr bwMode="auto">
                          <a:xfrm>
                            <a:off x="8800" y="175204"/>
                            <a:ext cx="1009715" cy="673114"/>
                            <a:chOff x="14" y="276"/>
                            <a:chExt cx="1590" cy="1060"/>
                          </a:xfrm>
                        </wpg:grpSpPr>
                        <wps:wsp>
                          <wps:cNvPr id="4" name="Freeform 76"/>
                          <wps:cNvSpPr>
                            <a:spLocks/>
                          </wps:cNvSpPr>
                          <wps:spPr bwMode="auto">
                            <a:xfrm>
                              <a:off x="919" y="458"/>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7"/>
                          <wps:cNvSpPr>
                            <a:spLocks/>
                          </wps:cNvSpPr>
                          <wps:spPr bwMode="auto">
                            <a:xfrm>
                              <a:off x="1044" y="582"/>
                              <a:ext cx="116" cy="109"/>
                            </a:xfrm>
                            <a:custGeom>
                              <a:avLst/>
                              <a:gdLst>
                                <a:gd name="T0" fmla="*/ 0 w 116"/>
                                <a:gd name="T1" fmla="*/ 42 h 109"/>
                                <a:gd name="T2" fmla="*/ 45 w 116"/>
                                <a:gd name="T3" fmla="*/ 42 h 109"/>
                                <a:gd name="T4" fmla="*/ 58 w 116"/>
                                <a:gd name="T5" fmla="*/ 0 h 109"/>
                                <a:gd name="T6" fmla="*/ 73 w 116"/>
                                <a:gd name="T7" fmla="*/ 42 h 109"/>
                                <a:gd name="T8" fmla="*/ 116 w 116"/>
                                <a:gd name="T9" fmla="*/ 42 h 109"/>
                                <a:gd name="T10" fmla="*/ 81 w 116"/>
                                <a:gd name="T11" fmla="*/ 68 h 109"/>
                                <a:gd name="T12" fmla="*/ 94 w 116"/>
                                <a:gd name="T13" fmla="*/ 109 h 109"/>
                                <a:gd name="T14" fmla="*/ 58 w 116"/>
                                <a:gd name="T15" fmla="*/ 85 h 109"/>
                                <a:gd name="T16" fmla="*/ 22 w 116"/>
                                <a:gd name="T17" fmla="*/ 109 h 109"/>
                                <a:gd name="T18" fmla="*/ 37 w 116"/>
                                <a:gd name="T19" fmla="*/ 68 h 109"/>
                                <a:gd name="T20" fmla="*/ 0 w 116"/>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09">
                                  <a:moveTo>
                                    <a:pt x="0" y="42"/>
                                  </a:moveTo>
                                  <a:lnTo>
                                    <a:pt x="45" y="42"/>
                                  </a:lnTo>
                                  <a:lnTo>
                                    <a:pt x="58" y="0"/>
                                  </a:lnTo>
                                  <a:lnTo>
                                    <a:pt x="73" y="42"/>
                                  </a:lnTo>
                                  <a:lnTo>
                                    <a:pt x="116" y="42"/>
                                  </a:lnTo>
                                  <a:lnTo>
                                    <a:pt x="81" y="68"/>
                                  </a:lnTo>
                                  <a:lnTo>
                                    <a:pt x="94" y="109"/>
                                  </a:lnTo>
                                  <a:lnTo>
                                    <a:pt x="58" y="85"/>
                                  </a:lnTo>
                                  <a:lnTo>
                                    <a:pt x="22" y="109"/>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8"/>
                          <wps:cNvSpPr>
                            <a:spLocks/>
                          </wps:cNvSpPr>
                          <wps:spPr bwMode="auto">
                            <a:xfrm>
                              <a:off x="1088" y="751"/>
                              <a:ext cx="115" cy="109"/>
                            </a:xfrm>
                            <a:custGeom>
                              <a:avLst/>
                              <a:gdLst>
                                <a:gd name="T0" fmla="*/ 0 w 115"/>
                                <a:gd name="T1" fmla="*/ 41 h 109"/>
                                <a:gd name="T2" fmla="*/ 44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4"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9"/>
                          <wps:cNvSpPr>
                            <a:spLocks/>
                          </wps:cNvSpPr>
                          <wps:spPr bwMode="auto">
                            <a:xfrm>
                              <a:off x="1044" y="919"/>
                              <a:ext cx="116" cy="110"/>
                            </a:xfrm>
                            <a:custGeom>
                              <a:avLst/>
                              <a:gdLst>
                                <a:gd name="T0" fmla="*/ 0 w 116"/>
                                <a:gd name="T1" fmla="*/ 42 h 110"/>
                                <a:gd name="T2" fmla="*/ 45 w 116"/>
                                <a:gd name="T3" fmla="*/ 42 h 110"/>
                                <a:gd name="T4" fmla="*/ 58 w 116"/>
                                <a:gd name="T5" fmla="*/ 0 h 110"/>
                                <a:gd name="T6" fmla="*/ 73 w 116"/>
                                <a:gd name="T7" fmla="*/ 42 h 110"/>
                                <a:gd name="T8" fmla="*/ 116 w 116"/>
                                <a:gd name="T9" fmla="*/ 42 h 110"/>
                                <a:gd name="T10" fmla="*/ 81 w 116"/>
                                <a:gd name="T11" fmla="*/ 68 h 110"/>
                                <a:gd name="T12" fmla="*/ 94 w 116"/>
                                <a:gd name="T13" fmla="*/ 110 h 110"/>
                                <a:gd name="T14" fmla="*/ 58 w 116"/>
                                <a:gd name="T15" fmla="*/ 84 h 110"/>
                                <a:gd name="T16" fmla="*/ 22 w 116"/>
                                <a:gd name="T17" fmla="*/ 110 h 110"/>
                                <a:gd name="T18" fmla="*/ 37 w 116"/>
                                <a:gd name="T19" fmla="*/ 68 h 110"/>
                                <a:gd name="T20" fmla="*/ 0 w 116"/>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10">
                                  <a:moveTo>
                                    <a:pt x="0" y="42"/>
                                  </a:moveTo>
                                  <a:lnTo>
                                    <a:pt x="45" y="42"/>
                                  </a:lnTo>
                                  <a:lnTo>
                                    <a:pt x="58" y="0"/>
                                  </a:lnTo>
                                  <a:lnTo>
                                    <a:pt x="73" y="42"/>
                                  </a:lnTo>
                                  <a:lnTo>
                                    <a:pt x="116" y="42"/>
                                  </a:lnTo>
                                  <a:lnTo>
                                    <a:pt x="81" y="68"/>
                                  </a:lnTo>
                                  <a:lnTo>
                                    <a:pt x="94" y="110"/>
                                  </a:lnTo>
                                  <a:lnTo>
                                    <a:pt x="58" y="84"/>
                                  </a:lnTo>
                                  <a:lnTo>
                                    <a:pt x="22" y="110"/>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80"/>
                          <wps:cNvSpPr>
                            <a:spLocks/>
                          </wps:cNvSpPr>
                          <wps:spPr bwMode="auto">
                            <a:xfrm>
                              <a:off x="919" y="1043"/>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81"/>
                          <wps:cNvSpPr>
                            <a:spLocks/>
                          </wps:cNvSpPr>
                          <wps:spPr bwMode="auto">
                            <a:xfrm>
                              <a:off x="752" y="1086"/>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70 h 111"/>
                                <a:gd name="T12" fmla="*/ 93 w 115"/>
                                <a:gd name="T13" fmla="*/ 111 h 111"/>
                                <a:gd name="T14" fmla="*/ 57 w 115"/>
                                <a:gd name="T15" fmla="*/ 86 h 111"/>
                                <a:gd name="T16" fmla="*/ 21 w 115"/>
                                <a:gd name="T17" fmla="*/ 111 h 111"/>
                                <a:gd name="T18" fmla="*/ 36 w 115"/>
                                <a:gd name="T19" fmla="*/ 70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70"/>
                                  </a:lnTo>
                                  <a:lnTo>
                                    <a:pt x="93" y="111"/>
                                  </a:lnTo>
                                  <a:lnTo>
                                    <a:pt x="57" y="86"/>
                                  </a:lnTo>
                                  <a:lnTo>
                                    <a:pt x="21" y="111"/>
                                  </a:lnTo>
                                  <a:lnTo>
                                    <a:pt x="36" y="70"/>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2"/>
                          <wps:cNvSpPr>
                            <a:spLocks/>
                          </wps:cNvSpPr>
                          <wps:spPr bwMode="auto">
                            <a:xfrm>
                              <a:off x="583" y="1043"/>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3"/>
                          <wps:cNvSpPr>
                            <a:spLocks/>
                          </wps:cNvSpPr>
                          <wps:spPr bwMode="auto">
                            <a:xfrm>
                              <a:off x="459" y="919"/>
                              <a:ext cx="115" cy="110"/>
                            </a:xfrm>
                            <a:custGeom>
                              <a:avLst/>
                              <a:gdLst>
                                <a:gd name="T0" fmla="*/ 0 w 115"/>
                                <a:gd name="T1" fmla="*/ 42 h 110"/>
                                <a:gd name="T2" fmla="*/ 43 w 115"/>
                                <a:gd name="T3" fmla="*/ 42 h 110"/>
                                <a:gd name="T4" fmla="*/ 57 w 115"/>
                                <a:gd name="T5" fmla="*/ 0 h 110"/>
                                <a:gd name="T6" fmla="*/ 70 w 115"/>
                                <a:gd name="T7" fmla="*/ 42 h 110"/>
                                <a:gd name="T8" fmla="*/ 115 w 115"/>
                                <a:gd name="T9" fmla="*/ 42 h 110"/>
                                <a:gd name="T10" fmla="*/ 79 w 115"/>
                                <a:gd name="T11" fmla="*/ 68 h 110"/>
                                <a:gd name="T12" fmla="*/ 94 w 115"/>
                                <a:gd name="T13" fmla="*/ 110 h 110"/>
                                <a:gd name="T14" fmla="*/ 57 w 115"/>
                                <a:gd name="T15" fmla="*/ 84 h 110"/>
                                <a:gd name="T16" fmla="*/ 21 w 115"/>
                                <a:gd name="T17" fmla="*/ 110 h 110"/>
                                <a:gd name="T18" fmla="*/ 34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3" y="42"/>
                                  </a:lnTo>
                                  <a:lnTo>
                                    <a:pt x="57" y="0"/>
                                  </a:lnTo>
                                  <a:lnTo>
                                    <a:pt x="70" y="42"/>
                                  </a:lnTo>
                                  <a:lnTo>
                                    <a:pt x="115" y="42"/>
                                  </a:lnTo>
                                  <a:lnTo>
                                    <a:pt x="79" y="68"/>
                                  </a:lnTo>
                                  <a:lnTo>
                                    <a:pt x="94" y="110"/>
                                  </a:lnTo>
                                  <a:lnTo>
                                    <a:pt x="57" y="84"/>
                                  </a:lnTo>
                                  <a:lnTo>
                                    <a:pt x="21" y="110"/>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4"/>
                          <wps:cNvSpPr>
                            <a:spLocks/>
                          </wps:cNvSpPr>
                          <wps:spPr bwMode="auto">
                            <a:xfrm>
                              <a:off x="414" y="751"/>
                              <a:ext cx="115" cy="109"/>
                            </a:xfrm>
                            <a:custGeom>
                              <a:avLst/>
                              <a:gdLst>
                                <a:gd name="T0" fmla="*/ 0 w 115"/>
                                <a:gd name="T1" fmla="*/ 41 h 109"/>
                                <a:gd name="T2" fmla="*/ 45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5"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5"/>
                          <wps:cNvSpPr>
                            <a:spLocks/>
                          </wps:cNvSpPr>
                          <wps:spPr bwMode="auto">
                            <a:xfrm>
                              <a:off x="459" y="582"/>
                              <a:ext cx="115" cy="109"/>
                            </a:xfrm>
                            <a:custGeom>
                              <a:avLst/>
                              <a:gdLst>
                                <a:gd name="T0" fmla="*/ 0 w 115"/>
                                <a:gd name="T1" fmla="*/ 42 h 109"/>
                                <a:gd name="T2" fmla="*/ 43 w 115"/>
                                <a:gd name="T3" fmla="*/ 42 h 109"/>
                                <a:gd name="T4" fmla="*/ 57 w 115"/>
                                <a:gd name="T5" fmla="*/ 0 h 109"/>
                                <a:gd name="T6" fmla="*/ 70 w 115"/>
                                <a:gd name="T7" fmla="*/ 42 h 109"/>
                                <a:gd name="T8" fmla="*/ 115 w 115"/>
                                <a:gd name="T9" fmla="*/ 42 h 109"/>
                                <a:gd name="T10" fmla="*/ 79 w 115"/>
                                <a:gd name="T11" fmla="*/ 68 h 109"/>
                                <a:gd name="T12" fmla="*/ 94 w 115"/>
                                <a:gd name="T13" fmla="*/ 109 h 109"/>
                                <a:gd name="T14" fmla="*/ 57 w 115"/>
                                <a:gd name="T15" fmla="*/ 85 h 109"/>
                                <a:gd name="T16" fmla="*/ 21 w 115"/>
                                <a:gd name="T17" fmla="*/ 109 h 109"/>
                                <a:gd name="T18" fmla="*/ 34 w 115"/>
                                <a:gd name="T19" fmla="*/ 68 h 109"/>
                                <a:gd name="T20" fmla="*/ 0 w 115"/>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2"/>
                                  </a:moveTo>
                                  <a:lnTo>
                                    <a:pt x="43" y="42"/>
                                  </a:lnTo>
                                  <a:lnTo>
                                    <a:pt x="57" y="0"/>
                                  </a:lnTo>
                                  <a:lnTo>
                                    <a:pt x="70" y="42"/>
                                  </a:lnTo>
                                  <a:lnTo>
                                    <a:pt x="115" y="42"/>
                                  </a:lnTo>
                                  <a:lnTo>
                                    <a:pt x="79" y="68"/>
                                  </a:lnTo>
                                  <a:lnTo>
                                    <a:pt x="94" y="109"/>
                                  </a:lnTo>
                                  <a:lnTo>
                                    <a:pt x="57" y="85"/>
                                  </a:lnTo>
                                  <a:lnTo>
                                    <a:pt x="21" y="109"/>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6"/>
                          <wps:cNvSpPr>
                            <a:spLocks/>
                          </wps:cNvSpPr>
                          <wps:spPr bwMode="auto">
                            <a:xfrm>
                              <a:off x="583" y="458"/>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7"/>
                          <wps:cNvSpPr>
                            <a:spLocks/>
                          </wps:cNvSpPr>
                          <wps:spPr bwMode="auto">
                            <a:xfrm>
                              <a:off x="752" y="413"/>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69 h 111"/>
                                <a:gd name="T12" fmla="*/ 93 w 115"/>
                                <a:gd name="T13" fmla="*/ 111 h 111"/>
                                <a:gd name="T14" fmla="*/ 57 w 115"/>
                                <a:gd name="T15" fmla="*/ 85 h 111"/>
                                <a:gd name="T16" fmla="*/ 21 w 115"/>
                                <a:gd name="T17" fmla="*/ 111 h 111"/>
                                <a:gd name="T18" fmla="*/ 36 w 115"/>
                                <a:gd name="T19" fmla="*/ 69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69"/>
                                  </a:lnTo>
                                  <a:lnTo>
                                    <a:pt x="93" y="111"/>
                                  </a:lnTo>
                                  <a:lnTo>
                                    <a:pt x="57" y="85"/>
                                  </a:lnTo>
                                  <a:lnTo>
                                    <a:pt x="21" y="111"/>
                                  </a:lnTo>
                                  <a:lnTo>
                                    <a:pt x="36" y="69"/>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88"/>
                          <wps:cNvSpPr>
                            <a:spLocks noChangeArrowheads="1"/>
                          </wps:cNvSpPr>
                          <wps:spPr bwMode="auto">
                            <a:xfrm>
                              <a:off x="52" y="301"/>
                              <a:ext cx="1515" cy="1009"/>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89"/>
                          <wps:cNvSpPr>
                            <a:spLocks noChangeArrowheads="1"/>
                          </wps:cNvSpPr>
                          <wps:spPr bwMode="auto">
                            <a:xfrm>
                              <a:off x="14" y="276"/>
                              <a:ext cx="1590" cy="106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 name="Rectangle 90"/>
                        <wps:cNvSpPr>
                          <a:spLocks noChangeArrowheads="1"/>
                        </wps:cNvSpPr>
                        <wps:spPr bwMode="auto">
                          <a:xfrm>
                            <a:off x="1017215" y="712315"/>
                            <a:ext cx="425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B5AA2" w14:textId="77777777" w:rsidR="00644844" w:rsidRDefault="00644844" w:rsidP="00644844">
                              <w:r>
                                <w:rPr>
                                  <w:rFonts w:ascii="Arial" w:hAnsi="Arial" w:cs="Arial"/>
                                  <w:color w:val="000000"/>
                                  <w:lang w:val="en-US"/>
                                </w:rPr>
                                <w:t xml:space="preserve"> </w:t>
                              </w:r>
                            </w:p>
                          </w:txbxContent>
                        </wps:txbx>
                        <wps:bodyPr rot="0" vert="horz" wrap="none" lIns="0" tIns="0" rIns="0" bIns="0" anchor="t" anchorCtr="0" upright="1">
                          <a:spAutoFit/>
                        </wps:bodyPr>
                      </wps:wsp>
                      <wps:wsp>
                        <wps:cNvPr id="19" name="Rectangle 91"/>
                        <wps:cNvSpPr>
                          <a:spLocks noChangeArrowheads="1"/>
                        </wps:cNvSpPr>
                        <wps:spPr bwMode="auto">
                          <a:xfrm>
                            <a:off x="1162017" y="179604"/>
                            <a:ext cx="18967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EE547" w14:textId="77777777" w:rsidR="00644844" w:rsidRDefault="00644844" w:rsidP="00644844">
                              <w:r>
                                <w:rPr>
                                  <w:rFonts w:ascii="Arial" w:hAnsi="Arial" w:cs="Arial"/>
                                  <w:color w:val="000000"/>
                                  <w:lang w:val="en-US"/>
                                </w:rPr>
                                <w:t>EUROPEAN COMMISSION</w:t>
                              </w:r>
                            </w:p>
                          </w:txbxContent>
                        </wps:txbx>
                        <wps:bodyPr rot="0" vert="horz" wrap="none" lIns="0" tIns="0" rIns="0" bIns="0" anchor="t" anchorCtr="0" upright="1">
                          <a:spAutoFit/>
                        </wps:bodyPr>
                      </wps:wsp>
                      <wps:wsp>
                        <wps:cNvPr id="20" name="Rectangle 92"/>
                        <wps:cNvSpPr>
                          <a:spLocks noChangeArrowheads="1"/>
                        </wps:cNvSpPr>
                        <wps:spPr bwMode="auto">
                          <a:xfrm>
                            <a:off x="3060745" y="179604"/>
                            <a:ext cx="425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D19B3" w14:textId="77777777" w:rsidR="00644844" w:rsidRDefault="00644844" w:rsidP="00644844">
                              <w:r>
                                <w:rPr>
                                  <w:rFonts w:ascii="Arial" w:hAnsi="Arial" w:cs="Arial"/>
                                  <w:color w:val="000000"/>
                                  <w:lang w:val="en-US"/>
                                </w:rPr>
                                <w:t xml:space="preserve"> </w:t>
                              </w:r>
                            </w:p>
                          </w:txbxContent>
                        </wps:txbx>
                        <wps:bodyPr rot="0" vert="horz" wrap="none" lIns="0" tIns="0" rIns="0" bIns="0" anchor="t" anchorCtr="0" upright="1">
                          <a:spAutoFit/>
                        </wps:bodyPr>
                      </wps:wsp>
                      <wps:wsp>
                        <wps:cNvPr id="21" name="Rectangle 93"/>
                        <wps:cNvSpPr>
                          <a:spLocks noChangeArrowheads="1"/>
                        </wps:cNvSpPr>
                        <wps:spPr bwMode="auto">
                          <a:xfrm>
                            <a:off x="5742984" y="179604"/>
                            <a:ext cx="425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9A56A" w14:textId="77777777" w:rsidR="00644844" w:rsidRDefault="00644844" w:rsidP="00644844">
                              <w:r>
                                <w:rPr>
                                  <w:rFonts w:ascii="Arial" w:hAnsi="Arial" w:cs="Arial"/>
                                  <w:color w:val="000000"/>
                                  <w:lang w:val="en-US"/>
                                </w:rPr>
                                <w:t xml:space="preserve"> </w:t>
                              </w:r>
                            </w:p>
                          </w:txbxContent>
                        </wps:txbx>
                        <wps:bodyPr rot="0" vert="horz" wrap="none" lIns="0" tIns="0" rIns="0" bIns="0" anchor="t" anchorCtr="0" upright="1">
                          <a:spAutoFit/>
                        </wps:bodyPr>
                      </wps:wsp>
                      <wps:wsp>
                        <wps:cNvPr id="22" name="Rectangle 94"/>
                        <wps:cNvSpPr>
                          <a:spLocks noChangeArrowheads="1"/>
                        </wps:cNvSpPr>
                        <wps:spPr bwMode="auto">
                          <a:xfrm>
                            <a:off x="3251223" y="1092223"/>
                            <a:ext cx="92329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EACEB" w14:textId="77777777" w:rsidR="00644844" w:rsidRDefault="00644844" w:rsidP="00644844">
                              <w:r>
                                <w:rPr>
                                  <w:color w:val="000000"/>
                                  <w:lang w:val="en-US"/>
                                </w:rPr>
                                <w:t>Brussels, XXX</w:t>
                              </w:r>
                            </w:p>
                          </w:txbxContent>
                        </wps:txbx>
                        <wps:bodyPr rot="0" vert="horz" wrap="none" lIns="0" tIns="0" rIns="0" bIns="0" anchor="t" anchorCtr="0" upright="1">
                          <a:spAutoFit/>
                        </wps:bodyPr>
                      </wps:wsp>
                      <wps:wsp>
                        <wps:cNvPr id="23" name="Rectangle 95"/>
                        <wps:cNvSpPr>
                          <a:spLocks noChangeArrowheads="1"/>
                        </wps:cNvSpPr>
                        <wps:spPr bwMode="auto">
                          <a:xfrm>
                            <a:off x="4173829" y="1092223"/>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6B79C" w14:textId="77777777" w:rsidR="00644844" w:rsidRDefault="00644844" w:rsidP="00644844">
                              <w:r>
                                <w:rPr>
                                  <w:color w:val="000000"/>
                                  <w:lang w:val="en-US"/>
                                </w:rPr>
                                <w:t xml:space="preserve"> </w:t>
                              </w:r>
                            </w:p>
                          </w:txbxContent>
                        </wps:txbx>
                        <wps:bodyPr rot="0" vert="horz" wrap="none" lIns="0" tIns="0" rIns="0" bIns="0" anchor="t" anchorCtr="0" upright="1">
                          <a:spAutoFit/>
                        </wps:bodyPr>
                      </wps:wsp>
                      <wps:wsp>
                        <wps:cNvPr id="24" name="Rectangle 96"/>
                        <wps:cNvSpPr>
                          <a:spLocks noChangeArrowheads="1"/>
                        </wps:cNvSpPr>
                        <wps:spPr bwMode="auto">
                          <a:xfrm>
                            <a:off x="3251223" y="1267427"/>
                            <a:ext cx="2540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F9091" w14:textId="77777777" w:rsidR="00644844" w:rsidRDefault="00644844" w:rsidP="00644844">
                              <w:r>
                                <w:rPr>
                                  <w:color w:val="0000FF"/>
                                  <w:lang w:val="en-US"/>
                                </w:rPr>
                                <w:t>[…]</w:t>
                              </w:r>
                            </w:p>
                          </w:txbxContent>
                        </wps:txbx>
                        <wps:bodyPr rot="0" vert="horz" wrap="none" lIns="0" tIns="0" rIns="0" bIns="0" anchor="t" anchorCtr="0" upright="1">
                          <a:spAutoFit/>
                        </wps:bodyPr>
                      </wps:wsp>
                      <wps:wsp>
                        <wps:cNvPr id="25" name="Rectangle 97"/>
                        <wps:cNvSpPr>
                          <a:spLocks noChangeArrowheads="1"/>
                        </wps:cNvSpPr>
                        <wps:spPr bwMode="auto">
                          <a:xfrm>
                            <a:off x="3507725" y="1267427"/>
                            <a:ext cx="131191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49720" w14:textId="1B8A6BDA" w:rsidR="00644844" w:rsidRDefault="00644844" w:rsidP="00644844">
                              <w:r>
                                <w:rPr>
                                  <w:color w:val="000000"/>
                                  <w:lang w:val="en-US"/>
                                </w:rPr>
                                <w:t>(2021) XXX draft</w:t>
                              </w:r>
                            </w:p>
                          </w:txbxContent>
                        </wps:txbx>
                        <wps:bodyPr rot="0" vert="horz" wrap="square" lIns="0" tIns="0" rIns="0" bIns="0" anchor="t" anchorCtr="0" upright="1">
                          <a:spAutoFit/>
                        </wps:bodyPr>
                      </wps:wsp>
                      <wps:wsp>
                        <wps:cNvPr id="26" name="Rectangle 98"/>
                        <wps:cNvSpPr>
                          <a:spLocks noChangeArrowheads="1"/>
                        </wps:cNvSpPr>
                        <wps:spPr bwMode="auto">
                          <a:xfrm>
                            <a:off x="4605633" y="1267427"/>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05575" w14:textId="77777777" w:rsidR="00644844" w:rsidRDefault="00644844" w:rsidP="00644844">
                              <w:r>
                                <w:rPr>
                                  <w:color w:val="000000"/>
                                  <w:lang w:val="en-US"/>
                                </w:rPr>
                                <w:t xml:space="preserve"> </w:t>
                              </w:r>
                            </w:p>
                          </w:txbxContent>
                        </wps:txbx>
                        <wps:bodyPr rot="0" vert="horz" wrap="none" lIns="0" tIns="0" rIns="0" bIns="0" anchor="t" anchorCtr="0" upright="1">
                          <a:spAutoFit/>
                        </wps:bodyPr>
                      </wps:wsp>
                      <wps:wsp>
                        <wps:cNvPr id="27" name="Rectangle 99"/>
                        <wps:cNvSpPr>
                          <a:spLocks noChangeArrowheads="1"/>
                        </wps:cNvSpPr>
                        <wps:spPr bwMode="auto">
                          <a:xfrm>
                            <a:off x="3251223" y="1748137"/>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4ACBE" w14:textId="77777777" w:rsidR="00644844" w:rsidRDefault="00644844" w:rsidP="00644844">
                              <w:r>
                                <w:rPr>
                                  <w:color w:val="000000"/>
                                  <w:lang w:val="en-US"/>
                                </w:rPr>
                                <w:t xml:space="preserve"> </w:t>
                              </w:r>
                            </w:p>
                          </w:txbxContent>
                        </wps:txbx>
                        <wps:bodyPr rot="0" vert="horz" wrap="none" lIns="0" tIns="0" rIns="0" bIns="0" anchor="t" anchorCtr="0" upright="1">
                          <a:spAutoFit/>
                        </wps:bodyPr>
                      </wps:wsp>
                      <wps:wsp>
                        <wps:cNvPr id="28" name="Rectangle 100"/>
                        <wps:cNvSpPr>
                          <a:spLocks noChangeArrowheads="1"/>
                        </wps:cNvSpPr>
                        <wps:spPr bwMode="auto">
                          <a:xfrm>
                            <a:off x="3289323" y="1748137"/>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B3B4C" w14:textId="77777777" w:rsidR="00644844" w:rsidRDefault="00644844" w:rsidP="00644844">
                              <w:r>
                                <w:rPr>
                                  <w:color w:val="000000"/>
                                  <w:lang w:val="en-US"/>
                                </w:rPr>
                                <w:t xml:space="preserve"> </w:t>
                              </w:r>
                            </w:p>
                          </w:txbxContent>
                        </wps:txbx>
                        <wps:bodyPr rot="0" vert="horz" wrap="none" lIns="0" tIns="0" rIns="0" bIns="0" anchor="t" anchorCtr="0" upright="1">
                          <a:spAutoFit/>
                        </wps:bodyPr>
                      </wps:wsp>
                      <wps:wsp>
                        <wps:cNvPr id="29" name="Rectangle 101"/>
                        <wps:cNvSpPr>
                          <a:spLocks noChangeArrowheads="1"/>
                        </wps:cNvSpPr>
                        <wps:spPr bwMode="auto">
                          <a:xfrm>
                            <a:off x="748605" y="2305049"/>
                            <a:ext cx="42805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C74D1" w14:textId="77777777" w:rsidR="00644844" w:rsidRDefault="00644844" w:rsidP="00644844">
                              <w:r>
                                <w:rPr>
                                  <w:b/>
                                  <w:bCs/>
                                  <w:color w:val="000000"/>
                                  <w:lang w:val="en-US"/>
                                </w:rPr>
                                <w:t>COMMISSION IMPLEMENTING REGULATION (EU) No …/..</w:t>
                              </w:r>
                            </w:p>
                          </w:txbxContent>
                        </wps:txbx>
                        <wps:bodyPr rot="0" vert="horz" wrap="none" lIns="0" tIns="0" rIns="0" bIns="0" anchor="t" anchorCtr="0" upright="1">
                          <a:spAutoFit/>
                        </wps:bodyPr>
                      </wps:wsp>
                      <wps:wsp>
                        <wps:cNvPr id="30" name="Rectangle 102"/>
                        <wps:cNvSpPr>
                          <a:spLocks noChangeArrowheads="1"/>
                        </wps:cNvSpPr>
                        <wps:spPr bwMode="auto">
                          <a:xfrm>
                            <a:off x="5032336" y="2305049"/>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CF460" w14:textId="77777777" w:rsidR="00644844" w:rsidRDefault="00644844" w:rsidP="00644844">
                              <w:r>
                                <w:rPr>
                                  <w:b/>
                                  <w:bCs/>
                                  <w:color w:val="000000"/>
                                  <w:lang w:val="en-US"/>
                                </w:rPr>
                                <w:t xml:space="preserve"> </w:t>
                              </w:r>
                            </w:p>
                          </w:txbxContent>
                        </wps:txbx>
                        <wps:bodyPr rot="0" vert="horz" wrap="none" lIns="0" tIns="0" rIns="0" bIns="0" anchor="t" anchorCtr="0" upright="1">
                          <a:spAutoFit/>
                        </wps:bodyPr>
                      </wps:wsp>
                      <wps:wsp>
                        <wps:cNvPr id="31" name="Rectangle 103"/>
                        <wps:cNvSpPr>
                          <a:spLocks noChangeArrowheads="1"/>
                        </wps:cNvSpPr>
                        <wps:spPr bwMode="auto">
                          <a:xfrm>
                            <a:off x="2642819" y="2709557"/>
                            <a:ext cx="3429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46E64" w14:textId="77777777" w:rsidR="00644844" w:rsidRDefault="00644844" w:rsidP="00644844">
                              <w:proofErr w:type="gramStart"/>
                              <w:r>
                                <w:rPr>
                                  <w:b/>
                                  <w:bCs/>
                                  <w:color w:val="000000"/>
                                  <w:lang w:val="en-US"/>
                                </w:rPr>
                                <w:t>of</w:t>
                              </w:r>
                              <w:proofErr w:type="gramEnd"/>
                              <w:r>
                                <w:rPr>
                                  <w:b/>
                                  <w:bCs/>
                                  <w:color w:val="000000"/>
                                  <w:lang w:val="en-US"/>
                                </w:rPr>
                                <w:t xml:space="preserve"> [  ]</w:t>
                              </w:r>
                            </w:p>
                          </w:txbxContent>
                        </wps:txbx>
                        <wps:bodyPr rot="0" vert="horz" wrap="none" lIns="0" tIns="0" rIns="0" bIns="0" anchor="t" anchorCtr="0" upright="1">
                          <a:spAutoFit/>
                        </wps:bodyPr>
                      </wps:wsp>
                      <wps:wsp>
                        <wps:cNvPr id="32" name="Rectangle 104"/>
                        <wps:cNvSpPr>
                          <a:spLocks noChangeArrowheads="1"/>
                        </wps:cNvSpPr>
                        <wps:spPr bwMode="auto">
                          <a:xfrm>
                            <a:off x="3138122" y="2709557"/>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7BB8B" w14:textId="77777777" w:rsidR="00644844" w:rsidRDefault="00644844" w:rsidP="00644844">
                              <w:r>
                                <w:rPr>
                                  <w:b/>
                                  <w:bCs/>
                                  <w:color w:val="000000"/>
                                  <w:lang w:val="en-US"/>
                                </w:rPr>
                                <w:t xml:space="preserve"> </w:t>
                              </w:r>
                            </w:p>
                          </w:txbxContent>
                        </wps:txbx>
                        <wps:bodyPr rot="0" vert="horz" wrap="none" lIns="0" tIns="0" rIns="0" bIns="0" anchor="t" anchorCtr="0" upright="1">
                          <a:spAutoFit/>
                        </wps:bodyPr>
                      </wps:wsp>
                      <wps:wsp>
                        <wps:cNvPr id="33" name="Rectangle 105"/>
                        <wps:cNvSpPr>
                          <a:spLocks noChangeArrowheads="1"/>
                        </wps:cNvSpPr>
                        <wps:spPr bwMode="auto">
                          <a:xfrm>
                            <a:off x="2810520" y="3113466"/>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FE653" w14:textId="77777777" w:rsidR="00644844" w:rsidRDefault="00644844" w:rsidP="00644844">
                              <w:r>
                                <w:rPr>
                                  <w:b/>
                                  <w:bCs/>
                                  <w:color w:val="000000"/>
                                  <w:lang w:val="en-US"/>
                                </w:rPr>
                                <w:t xml:space="preserve"> </w:t>
                              </w:r>
                            </w:p>
                          </w:txbxContent>
                        </wps:txbx>
                        <wps:bodyPr rot="0" vert="horz" wrap="none" lIns="0" tIns="0" rIns="0" bIns="0" anchor="t" anchorCtr="0" upright="1">
                          <a:spAutoFit/>
                        </wps:bodyPr>
                      </wps:wsp>
                      <wps:wsp>
                        <wps:cNvPr id="34" name="Rectangle 106"/>
                        <wps:cNvSpPr>
                          <a:spLocks noChangeArrowheads="1"/>
                        </wps:cNvSpPr>
                        <wps:spPr bwMode="auto">
                          <a:xfrm>
                            <a:off x="3010521" y="3113466"/>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7211A" w14:textId="77777777" w:rsidR="00644844" w:rsidRDefault="00644844" w:rsidP="00644844">
                              <w:r>
                                <w:rPr>
                                  <w:b/>
                                  <w:bCs/>
                                  <w:color w:val="000000"/>
                                  <w:lang w:val="en-US"/>
                                </w:rPr>
                                <w:t xml:space="preserve"> </w:t>
                              </w:r>
                            </w:p>
                          </w:txbxContent>
                        </wps:txbx>
                        <wps:bodyPr rot="0" vert="horz" wrap="none" lIns="0" tIns="0" rIns="0" bIns="0" anchor="t" anchorCtr="0" upright="1">
                          <a:spAutoFit/>
                        </wps:bodyPr>
                      </wps:wsp>
                    </wpc:wpc>
                  </a:graphicData>
                </a:graphic>
              </wp:inline>
            </w:drawing>
          </mc:Choice>
          <mc:Fallback>
            <w:pict>
              <v:group w14:anchorId="0B846D6B" id="Canvas 35" o:spid="_x0000_s1026" editas="canvas" style="width:455.55pt;height:280.25pt;mso-position-horizontal-relative:char;mso-position-vertical-relative:line" coordsize="57854,35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854;height:35591;visibility:visible;mso-wrap-style:square">
                  <v:fill o:detectmouseclick="t"/>
                  <v:path o:connecttype="none"/>
                </v:shape>
                <v:rect id="Rectangle 74" o:spid="_x0000_s1028" style="position:absolute;left:88;top:57;width:42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4A86E432" w14:textId="77777777" w:rsidR="00644844" w:rsidRDefault="00644844" w:rsidP="00644844">
                        <w:r>
                          <w:rPr>
                            <w:rFonts w:ascii="Arial" w:hAnsi="Arial" w:cs="Arial"/>
                            <w:color w:val="000000"/>
                            <w:lang w:val="en-US"/>
                          </w:rPr>
                          <w:t xml:space="preserve"> </w:t>
                        </w:r>
                      </w:p>
                    </w:txbxContent>
                  </v:textbox>
                </v:rect>
                <v:group id="Group 75" o:spid="_x0000_s1029" style="position:absolute;left:88;top:1752;width:10097;height:6731" coordorigin="14,276" coordsize="1590,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76" o:spid="_x0000_s1030" style="position:absolute;left:919;top:458;width:117;height:110;visibility:visible;mso-wrap-style:square;v-text-anchor:top" coordsize="1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" path="m,42r45,l59,,72,42r45,l81,68r14,42l59,84,23,110,36,68,,42e" filled="f" strokeweight=".45pt">
                    <v:path arrowok="t" o:connecttype="custom" o:connectlocs="0,42;45,42;59,0;72,42;117,42;81,68;95,110;59,84;23,110;36,68;0,42" o:connectangles="0,0,0,0,0,0,0,0,0,0,0"/>
                  </v:shape>
                  <v:shape id="Freeform 77" o:spid="_x0000_s1031" style="position:absolute;left:1044;top:582;width:116;height:109;visibility:visible;mso-wrap-style:square;v-text-anchor:top" coordsize="11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" path="m,42r45,l58,,73,42r43,l81,68r13,41l58,85,22,109,37,68,,42e" filled="f" strokeweight=".45pt">
                    <v:path arrowok="t" o:connecttype="custom" o:connectlocs="0,42;45,42;58,0;73,42;116,42;81,68;94,109;58,85;22,109;37,68;0,42" o:connectangles="0,0,0,0,0,0,0,0,0,0,0"/>
                  </v:shape>
                  <v:shape id="Freeform 78" o:spid="_x0000_s1032" style="position:absolute;left:1088;top:751;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" path="m,41r44,l59,,72,41r43,l81,67r13,42l59,83,23,109,36,67,,41e" filled="f" strokeweight=".45pt">
                    <v:path arrowok="t" o:connecttype="custom" o:connectlocs="0,41;44,41;59,0;72,41;115,41;81,67;94,109;59,83;23,109;36,67;0,41" o:connectangles="0,0,0,0,0,0,0,0,0,0,0"/>
                  </v:shape>
                  <v:shape id="Freeform 79" o:spid="_x0000_s1033" style="position:absolute;left:1044;top:919;width:116;height:110;visibility:visible;mso-wrap-style:square;v-text-anchor:top" coordsize="116,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" path="m,42r45,l58,,73,42r43,l81,68r13,42l58,84,22,110,37,68,,42e" filled="f" strokeweight=".45pt">
                    <v:path arrowok="t" o:connecttype="custom" o:connectlocs="0,42;45,42;58,0;73,42;116,42;81,68;94,110;58,84;22,110;37,68;0,42" o:connectangles="0,0,0,0,0,0,0,0,0,0,0"/>
                  </v:shape>
                  <v:shape id="Freeform 80" o:spid="_x0000_s1034" style="position:absolute;left:919;top:1043;width:117;height:110;visibility:visible;mso-wrap-style:square;v-text-anchor:top" coordsize="1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" path="m,42r45,l59,,72,42r45,l81,68r14,42l59,84,23,110,36,68,,42e" filled="f" strokeweight=".45pt">
                    <v:path arrowok="t" o:connecttype="custom" o:connectlocs="0,42;45,42;59,0;72,42;117,42;81,68;95,110;59,84;23,110;36,68;0,42" o:connectangles="0,0,0,0,0,0,0,0,0,0,0"/>
                  </v:shape>
                  <v:shape id="Freeform 81" o:spid="_x0000_s1035" style="position:absolute;left:752;top:1086;width:115;height:111;visibility:visible;mso-wrap-style:square;v-text-anchor:top" coordsize="1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" path="m,42r44,l57,,70,42r45,l79,70r14,41l57,86,21,111,36,70,,42e" filled="f" strokeweight=".45pt">
                    <v:path arrowok="t" o:connecttype="custom" o:connectlocs="0,42;44,42;57,0;70,42;115,42;79,70;93,111;57,86;21,111;36,70;0,42" o:connectangles="0,0,0,0,0,0,0,0,0,0,0"/>
                  </v:shape>
                  <v:shape id="Freeform 82" o:spid="_x0000_s1036" style="position:absolute;left:583;top:1043;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" path="m,42r45,l58,,72,42r43,l81,68r13,42l58,84,21,110,36,68,,42e" filled="f" strokeweight=".45pt">
                    <v:path arrowok="t" o:connecttype="custom" o:connectlocs="0,42;45,42;58,0;72,42;115,42;81,68;94,110;58,84;21,110;36,68;0,42" o:connectangles="0,0,0,0,0,0,0,0,0,0,0"/>
                  </v:shape>
                  <v:shape id="Freeform 83" o:spid="_x0000_s1037" style="position:absolute;left:459;top:919;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" path="m,42r43,l57,,70,42r45,l79,68r15,42l57,84,21,110,34,68,,42e" filled="f" strokeweight=".45pt">
                    <v:path arrowok="t" o:connecttype="custom" o:connectlocs="0,42;43,42;57,0;70,42;115,42;79,68;94,110;57,84;21,110;34,68;0,42" o:connectangles="0,0,0,0,0,0,0,0,0,0,0"/>
                  </v:shape>
                  <v:shape id="Freeform 84" o:spid="_x0000_s1038" style="position:absolute;left:414;top:751;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" path="m,41r45,l59,,72,41r43,l81,67r13,42l59,83,23,109,36,67,,41e" filled="f" strokeweight=".45pt">
                    <v:path arrowok="t" o:connecttype="custom" o:connectlocs="0,41;45,41;59,0;72,41;115,41;81,67;94,109;59,83;23,109;36,67;0,41" o:connectangles="0,0,0,0,0,0,0,0,0,0,0"/>
                  </v:shape>
                  <v:shape id="Freeform 85" o:spid="_x0000_s1039" style="position:absolute;left:459;top:582;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" path="m,42r43,l57,,70,42r45,l79,68r15,41l57,85,21,109,34,68,,42e" filled="f" strokeweight=".45pt">
                    <v:path arrowok="t" o:connecttype="custom" o:connectlocs="0,42;43,42;57,0;70,42;115,42;79,68;94,109;57,85;21,109;34,68;0,42" o:connectangles="0,0,0,0,0,0,0,0,0,0,0"/>
                  </v:shape>
                  <v:shape id="Freeform 86" o:spid="_x0000_s1040" style="position:absolute;left:583;top:458;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" path="m,42r45,l58,,72,42r43,l81,68r13,42l58,84,21,110,36,68,,42e" filled="f" strokeweight=".45pt">
                    <v:path arrowok="t" o:connecttype="custom" o:connectlocs="0,42;45,42;58,0;72,42;115,42;81,68;94,110;58,84;21,110;36,68;0,42" o:connectangles="0,0,0,0,0,0,0,0,0,0,0"/>
                  </v:shape>
                  <v:shape id="Freeform 87" o:spid="_x0000_s1041" style="position:absolute;left:752;top:413;width:115;height:111;visibility:visible;mso-wrap-style:square;v-text-anchor:top" coordsize="1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" path="m,42r44,l57,,70,42r45,l79,69r14,42l57,85,21,111,36,69,,42e" filled="f" strokeweight=".45pt">
                    <v:path arrowok="t" o:connecttype="custom" o:connectlocs="0,42;44,42;57,0;70,42;115,42;79,69;93,111;57,85;21,111;36,69;0,42" o:connectangles="0,0,0,0,0,0,0,0,0,0,0"/>
                  </v:shape>
                  <v:rect id="Rectangle 88" o:spid="_x0000_s1042" style="position:absolute;left:52;top:301;width:1515;height:1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" filled="f" strokeweight=".65pt"/>
                  <v:rect id="Rectangle 89" o:spid="_x0000_s1043" style="position:absolute;left:14;top:276;width:1590;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" filled="f" strokecolor="white" strokeweight="0"/>
                </v:group>
                <v:rect id="Rectangle 90" o:spid="_x0000_s1044" style="position:absolute;left:10172;top:7123;width:42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2C2B5AA2" w14:textId="77777777" w:rsidR="00644844" w:rsidRDefault="00644844" w:rsidP="00644844">
                        <w:r>
                          <w:rPr>
                            <w:rFonts w:ascii="Arial" w:hAnsi="Arial" w:cs="Arial"/>
                            <w:color w:val="000000"/>
                            <w:lang w:val="en-US"/>
                          </w:rPr>
                          <w:t xml:space="preserve"> </w:t>
                        </w:r>
                      </w:p>
                    </w:txbxContent>
                  </v:textbox>
                </v:rect>
                <v:rect id="Rectangle 91" o:spid="_x0000_s1045" style="position:absolute;left:11620;top:1796;width:1896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4CCEE547" w14:textId="77777777" w:rsidR="00644844" w:rsidRDefault="00644844" w:rsidP="00644844">
                        <w:r>
                          <w:rPr>
                            <w:rFonts w:ascii="Arial" w:hAnsi="Arial" w:cs="Arial"/>
                            <w:color w:val="000000"/>
                            <w:lang w:val="en-US"/>
                          </w:rPr>
                          <w:t>EUROPEAN COMMISSION</w:t>
                        </w:r>
                      </w:p>
                    </w:txbxContent>
                  </v:textbox>
                </v:rect>
                <v:rect id="Rectangle 92" o:spid="_x0000_s1046" style="position:absolute;left:30607;top:1796;width:42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598D19B3" w14:textId="77777777" w:rsidR="00644844" w:rsidRDefault="00644844" w:rsidP="00644844">
                        <w:r>
                          <w:rPr>
                            <w:rFonts w:ascii="Arial" w:hAnsi="Arial" w:cs="Arial"/>
                            <w:color w:val="000000"/>
                            <w:lang w:val="en-US"/>
                          </w:rPr>
                          <w:t xml:space="preserve"> </w:t>
                        </w:r>
                      </w:p>
                    </w:txbxContent>
                  </v:textbox>
                </v:rect>
                <v:rect id="Rectangle 93" o:spid="_x0000_s1047" style="position:absolute;left:57429;top:1796;width:426;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259A56A" w14:textId="77777777" w:rsidR="00644844" w:rsidRDefault="00644844" w:rsidP="00644844">
                        <w:r>
                          <w:rPr>
                            <w:rFonts w:ascii="Arial" w:hAnsi="Arial" w:cs="Arial"/>
                            <w:color w:val="000000"/>
                            <w:lang w:val="en-US"/>
                          </w:rPr>
                          <w:t xml:space="preserve"> </w:t>
                        </w:r>
                      </w:p>
                    </w:txbxContent>
                  </v:textbox>
                </v:rect>
                <v:rect id="Rectangle 94" o:spid="_x0000_s1048" style="position:absolute;left:32512;top:10922;width:923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540EACEB" w14:textId="77777777" w:rsidR="00644844" w:rsidRDefault="00644844" w:rsidP="00644844">
                        <w:r>
                          <w:rPr>
                            <w:color w:val="000000"/>
                            <w:lang w:val="en-US"/>
                          </w:rPr>
                          <w:t>Brussels, XXX</w:t>
                        </w:r>
                      </w:p>
                    </w:txbxContent>
                  </v:textbox>
                </v:rect>
                <v:rect id="Rectangle 95" o:spid="_x0000_s1049" style="position:absolute;left:41738;top:10922;width:38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4A46B79C" w14:textId="77777777" w:rsidR="00644844" w:rsidRDefault="00644844" w:rsidP="00644844">
                        <w:r>
                          <w:rPr>
                            <w:color w:val="000000"/>
                            <w:lang w:val="en-US"/>
                          </w:rPr>
                          <w:t xml:space="preserve"> </w:t>
                        </w:r>
                      </w:p>
                    </w:txbxContent>
                  </v:textbox>
                </v:rect>
                <v:rect id="Rectangle 96" o:spid="_x0000_s1050" style="position:absolute;left:32512;top:12674;width:2540;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6A9F9091" w14:textId="77777777" w:rsidR="00644844" w:rsidRDefault="00644844" w:rsidP="00644844">
                        <w:r>
                          <w:rPr>
                            <w:color w:val="0000FF"/>
                            <w:lang w:val="en-US"/>
                          </w:rPr>
                          <w:t>[…]</w:t>
                        </w:r>
                      </w:p>
                    </w:txbxContent>
                  </v:textbox>
                </v:rect>
                <v:rect id="Rectangle 97" o:spid="_x0000_s1051" style="position:absolute;left:35077;top:12674;width:13119;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8/txQAAANsAAAAPAAAAZHJzL2Rvd25yZXYueG1sRI9Ba8JA&#10;FITvBf/D8gQvRTcGWj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CLD8/txQAAANsAAAAP&#10;AAAAAAAAAAAAAAAAAAcCAABkcnMvZG93bnJldi54bWxQSwUGAAAAAAMAAwC3AAAA+QIAAAAA&#10;" filled="f" stroked="f">
                  <v:textbox style="mso-fit-shape-to-text:t" inset="0,0,0,0">
                    <w:txbxContent>
                      <w:p w14:paraId="0F349720" w14:textId="1B8A6BDA" w:rsidR="00644844" w:rsidRDefault="00644844" w:rsidP="00644844">
                        <w:r>
                          <w:rPr>
                            <w:color w:val="000000"/>
                            <w:lang w:val="en-US"/>
                          </w:rPr>
                          <w:t>(2021) XXX draft</w:t>
                        </w:r>
                      </w:p>
                    </w:txbxContent>
                  </v:textbox>
                </v:rect>
                <v:rect id="Rectangle 98" o:spid="_x0000_s1052" style="position:absolute;left:46056;top:12674;width:38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77C05575" w14:textId="77777777" w:rsidR="00644844" w:rsidRDefault="00644844" w:rsidP="00644844">
                        <w:r>
                          <w:rPr>
                            <w:color w:val="000000"/>
                            <w:lang w:val="en-US"/>
                          </w:rPr>
                          <w:t xml:space="preserve"> </w:t>
                        </w:r>
                      </w:p>
                    </w:txbxContent>
                  </v:textbox>
                </v:rect>
                <v:rect id="Rectangle 99" o:spid="_x0000_s1053" style="position:absolute;left:32512;top:17481;width:38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B44ACBE" w14:textId="77777777" w:rsidR="00644844" w:rsidRDefault="00644844" w:rsidP="00644844">
                        <w:r>
                          <w:rPr>
                            <w:color w:val="000000"/>
                            <w:lang w:val="en-US"/>
                          </w:rPr>
                          <w:t xml:space="preserve"> </w:t>
                        </w:r>
                      </w:p>
                    </w:txbxContent>
                  </v:textbox>
                </v:rect>
                <v:rect id="Rectangle 100" o:spid="_x0000_s1054" style="position:absolute;left:32893;top:17481;width:38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EFB3B4C" w14:textId="77777777" w:rsidR="00644844" w:rsidRDefault="00644844" w:rsidP="00644844">
                        <w:r>
                          <w:rPr>
                            <w:color w:val="000000"/>
                            <w:lang w:val="en-US"/>
                          </w:rPr>
                          <w:t xml:space="preserve"> </w:t>
                        </w:r>
                      </w:p>
                    </w:txbxContent>
                  </v:textbox>
                </v:rect>
                <v:rect id="Rectangle 101" o:spid="_x0000_s1055" style="position:absolute;left:7486;top:23050;width:42805;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35C74D1" w14:textId="77777777" w:rsidR="00644844" w:rsidRDefault="00644844" w:rsidP="00644844">
                        <w:r>
                          <w:rPr>
                            <w:b/>
                            <w:bCs/>
                            <w:color w:val="000000"/>
                            <w:lang w:val="en-US"/>
                          </w:rPr>
                          <w:t>COMMISSION IMPLEMENTING REGULATION (EU) No …/..</w:t>
                        </w:r>
                      </w:p>
                    </w:txbxContent>
                  </v:textbox>
                </v:rect>
                <v:rect id="Rectangle 102" o:spid="_x0000_s1056" style="position:absolute;left:50323;top:23050;width:38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159CF460" w14:textId="77777777" w:rsidR="00644844" w:rsidRDefault="00644844" w:rsidP="00644844">
                        <w:r>
                          <w:rPr>
                            <w:b/>
                            <w:bCs/>
                            <w:color w:val="000000"/>
                            <w:lang w:val="en-US"/>
                          </w:rPr>
                          <w:t xml:space="preserve"> </w:t>
                        </w:r>
                      </w:p>
                    </w:txbxContent>
                  </v:textbox>
                </v:rect>
                <v:rect id="Rectangle 103" o:spid="_x0000_s1057" style="position:absolute;left:26428;top:27095;width:342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5F246E64" w14:textId="77777777" w:rsidR="00644844" w:rsidRDefault="00644844" w:rsidP="00644844">
                        <w:proofErr w:type="gramStart"/>
                        <w:r>
                          <w:rPr>
                            <w:b/>
                            <w:bCs/>
                            <w:color w:val="000000"/>
                            <w:lang w:val="en-US"/>
                          </w:rPr>
                          <w:t>of</w:t>
                        </w:r>
                        <w:proofErr w:type="gramEnd"/>
                        <w:r>
                          <w:rPr>
                            <w:b/>
                            <w:bCs/>
                            <w:color w:val="000000"/>
                            <w:lang w:val="en-US"/>
                          </w:rPr>
                          <w:t xml:space="preserve"> [  ]</w:t>
                        </w:r>
                      </w:p>
                    </w:txbxContent>
                  </v:textbox>
                </v:rect>
                <v:rect id="Rectangle 104" o:spid="_x0000_s1058" style="position:absolute;left:31381;top:27095;width:38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4117BB8B" w14:textId="77777777" w:rsidR="00644844" w:rsidRDefault="00644844" w:rsidP="00644844">
                        <w:r>
                          <w:rPr>
                            <w:b/>
                            <w:bCs/>
                            <w:color w:val="000000"/>
                            <w:lang w:val="en-US"/>
                          </w:rPr>
                          <w:t xml:space="preserve"> </w:t>
                        </w:r>
                      </w:p>
                    </w:txbxContent>
                  </v:textbox>
                </v:rect>
                <v:rect id="Rectangle 105" o:spid="_x0000_s1059" style="position:absolute;left:28105;top:31134;width:38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B1FE653" w14:textId="77777777" w:rsidR="00644844" w:rsidRDefault="00644844" w:rsidP="00644844">
                        <w:r>
                          <w:rPr>
                            <w:b/>
                            <w:bCs/>
                            <w:color w:val="000000"/>
                            <w:lang w:val="en-US"/>
                          </w:rPr>
                          <w:t xml:space="preserve"> </w:t>
                        </w:r>
                      </w:p>
                    </w:txbxContent>
                  </v:textbox>
                </v:rect>
                <v:rect id="Rectangle 106" o:spid="_x0000_s1060" style="position:absolute;left:30105;top:31134;width:38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2127211A" w14:textId="77777777" w:rsidR="00644844" w:rsidRDefault="00644844" w:rsidP="00644844">
                        <w:r>
                          <w:rPr>
                            <w:b/>
                            <w:bCs/>
                            <w:color w:val="000000"/>
                            <w:lang w:val="en-US"/>
                          </w:rPr>
                          <w:t xml:space="preserve"> </w:t>
                        </w:r>
                      </w:p>
                    </w:txbxContent>
                  </v:textbox>
                </v:rect>
                <w10:anchorlock/>
              </v:group>
            </w:pict>
          </mc:Fallback>
        </mc:AlternateContent>
      </w:r>
      <w:r>
        <w:rPr>
          <w:b/>
          <w:lang w:eastAsia="de-DE"/>
        </w:rPr>
        <w:br w:type="page"/>
      </w:r>
    </w:p>
    <w:p w14:paraId="4FC51C3D" w14:textId="77777777" w:rsidR="00644844" w:rsidRPr="0048214F" w:rsidRDefault="00644844" w:rsidP="00644844">
      <w:pPr>
        <w:spacing w:before="360"/>
        <w:jc w:val="center"/>
        <w:rPr>
          <w:b/>
          <w:lang w:val="en-GB" w:eastAsia="de-DE"/>
        </w:rPr>
      </w:pPr>
      <w:r w:rsidRPr="0048214F">
        <w:rPr>
          <w:b/>
          <w:lang w:val="en-GB" w:eastAsia="de-DE"/>
        </w:rPr>
        <w:lastRenderedPageBreak/>
        <w:t xml:space="preserve">COMMISSION IMPLEMENTING REGULATION (EU) …/... </w:t>
      </w:r>
    </w:p>
    <w:p w14:paraId="57D93922" w14:textId="77777777" w:rsidR="00644844" w:rsidRPr="0048214F" w:rsidRDefault="00644844" w:rsidP="00644844">
      <w:pPr>
        <w:spacing w:before="360"/>
        <w:jc w:val="center"/>
        <w:rPr>
          <w:b/>
          <w:lang w:val="en-GB" w:eastAsia="de-DE"/>
        </w:rPr>
      </w:pPr>
      <w:proofErr w:type="gramStart"/>
      <w:r w:rsidRPr="0048214F">
        <w:rPr>
          <w:b/>
          <w:lang w:val="en-GB" w:eastAsia="de-DE"/>
        </w:rPr>
        <w:t>of</w:t>
      </w:r>
      <w:proofErr w:type="gramEnd"/>
      <w:r w:rsidRPr="0048214F">
        <w:rPr>
          <w:b/>
          <w:lang w:val="en-GB" w:eastAsia="de-DE"/>
        </w:rPr>
        <w:t xml:space="preserve"> XXX </w:t>
      </w:r>
    </w:p>
    <w:p w14:paraId="4371B98C" w14:textId="49E4B484" w:rsidR="00644844" w:rsidRPr="0048214F" w:rsidRDefault="00644844" w:rsidP="00644844">
      <w:pPr>
        <w:spacing w:before="360"/>
        <w:jc w:val="center"/>
        <w:rPr>
          <w:b/>
          <w:lang w:val="en-GB" w:eastAsia="de-DE"/>
        </w:rPr>
      </w:pPr>
      <w:proofErr w:type="gramStart"/>
      <w:r w:rsidRPr="0048214F">
        <w:rPr>
          <w:b/>
          <w:bCs/>
          <w:lang w:val="en-GB" w:eastAsia="de-DE"/>
        </w:rPr>
        <w:t>laying</w:t>
      </w:r>
      <w:proofErr w:type="gramEnd"/>
      <w:r w:rsidRPr="0048214F">
        <w:rPr>
          <w:b/>
          <w:bCs/>
          <w:lang w:val="en-GB" w:eastAsia="de-DE"/>
        </w:rPr>
        <w:t xml:space="preserve"> down implementing technical standards with regard to the procedures, formats and templates of the solvency and financial condition report</w:t>
      </w:r>
      <w:r w:rsidRPr="0048214F">
        <w:rPr>
          <w:b/>
          <w:lang w:val="en-GB" w:eastAsia="de-DE"/>
        </w:rPr>
        <w:t xml:space="preserve"> in accordance with Directive 2009/138/EC of the European Parliament and of the Council</w:t>
      </w:r>
      <w:r w:rsidR="00F71028" w:rsidRPr="00F71028">
        <w:rPr>
          <w:b/>
          <w:lang w:val="en-GB" w:eastAsia="de-DE"/>
        </w:rPr>
        <w:t xml:space="preserve"> </w:t>
      </w:r>
      <w:r w:rsidR="00F71028">
        <w:rPr>
          <w:b/>
          <w:lang w:val="en-GB" w:eastAsia="de-DE"/>
        </w:rPr>
        <w:t xml:space="preserve">and repealing </w:t>
      </w:r>
      <w:r w:rsidR="00F71028" w:rsidRPr="0048214F">
        <w:rPr>
          <w:b/>
          <w:lang w:val="en-GB" w:eastAsia="de-DE"/>
        </w:rPr>
        <w:t>Implementing Regulation (EU) 2015/2452</w:t>
      </w:r>
    </w:p>
    <w:p w14:paraId="7CE814C9" w14:textId="77777777" w:rsidR="00644844" w:rsidRPr="0048214F" w:rsidRDefault="00644844" w:rsidP="00644844">
      <w:pPr>
        <w:spacing w:before="360"/>
        <w:jc w:val="center"/>
        <w:rPr>
          <w:b/>
          <w:lang w:val="en-GB" w:eastAsia="de-DE"/>
        </w:rPr>
      </w:pPr>
    </w:p>
    <w:p w14:paraId="6E72568E" w14:textId="77777777" w:rsidR="00644844" w:rsidRPr="0048214F" w:rsidRDefault="00644844" w:rsidP="00644844">
      <w:pPr>
        <w:spacing w:before="360"/>
        <w:jc w:val="center"/>
        <w:rPr>
          <w:lang w:val="en-GB" w:eastAsia="de-DE"/>
        </w:rPr>
      </w:pPr>
      <w:r w:rsidRPr="0048214F">
        <w:rPr>
          <w:lang w:val="en-GB" w:eastAsia="de-DE"/>
        </w:rPr>
        <w:t>(Text with EEA relevance)</w:t>
      </w:r>
    </w:p>
    <w:p w14:paraId="336F8963" w14:textId="77777777" w:rsidR="00644844" w:rsidRPr="0048214F" w:rsidRDefault="00644844" w:rsidP="00644844">
      <w:pPr>
        <w:keepNext/>
        <w:spacing w:before="600" w:line="360" w:lineRule="auto"/>
        <w:rPr>
          <w:lang w:val="en-GB" w:eastAsia="de-DE"/>
        </w:rPr>
      </w:pPr>
      <w:r w:rsidRPr="0048214F">
        <w:rPr>
          <w:lang w:val="en-GB" w:eastAsia="de-DE"/>
        </w:rPr>
        <w:t>THE EUROPEAN COMMISSION,</w:t>
      </w:r>
    </w:p>
    <w:p w14:paraId="58F661EC" w14:textId="77777777" w:rsidR="00644844" w:rsidRPr="0048214F" w:rsidRDefault="00644844" w:rsidP="00644844">
      <w:pPr>
        <w:spacing w:line="360" w:lineRule="auto"/>
        <w:rPr>
          <w:lang w:val="en-GB"/>
        </w:rPr>
      </w:pPr>
      <w:r w:rsidRPr="0048214F">
        <w:rPr>
          <w:color w:val="000000"/>
          <w:lang w:val="en-GB"/>
        </w:rPr>
        <w:t>Having regard to the Treaty on the Functioning of the European Union</w:t>
      </w:r>
      <w:r w:rsidRPr="0048214F">
        <w:rPr>
          <w:lang w:val="en-GB"/>
        </w:rPr>
        <w:t>,</w:t>
      </w:r>
    </w:p>
    <w:p w14:paraId="7F177518" w14:textId="77777777" w:rsidR="00644844" w:rsidRPr="0048214F" w:rsidRDefault="00644844" w:rsidP="00644844">
      <w:pPr>
        <w:spacing w:line="360" w:lineRule="auto"/>
        <w:rPr>
          <w:color w:val="000000"/>
          <w:lang w:val="en-GB"/>
        </w:rPr>
      </w:pPr>
      <w:r w:rsidRPr="0048214F">
        <w:rPr>
          <w:color w:val="000000"/>
          <w:lang w:val="en-GB"/>
        </w:rPr>
        <w:t>Having regard to Directive 2009/138/EC of the European Parliament and of the Council of 25 November 2009 on the taking up and pursuit of the business of Insurance and Reinsurance (Solvency II)</w:t>
      </w:r>
      <w:r>
        <w:rPr>
          <w:rStyle w:val="FootnoteReference"/>
          <w:noProof/>
          <w:lang w:eastAsia="de-DE"/>
        </w:rPr>
        <w:footnoteReference w:id="1"/>
      </w:r>
      <w:r w:rsidRPr="0048214F">
        <w:rPr>
          <w:color w:val="000000"/>
          <w:lang w:val="en-GB"/>
        </w:rPr>
        <w:t>, and in particular Articles 56,</w:t>
      </w:r>
    </w:p>
    <w:p w14:paraId="41F41C2B" w14:textId="179D0577" w:rsidR="00644844" w:rsidRDefault="00644844" w:rsidP="00644844">
      <w:pPr>
        <w:spacing w:line="360" w:lineRule="auto"/>
      </w:pPr>
      <w:proofErr w:type="spellStart"/>
      <w:r>
        <w:t>Whereas</w:t>
      </w:r>
      <w:proofErr w:type="spellEnd"/>
      <w:r>
        <w:t>:</w:t>
      </w:r>
    </w:p>
    <w:p w14:paraId="4CB0F9A4" w14:textId="0A477383" w:rsidR="00644844" w:rsidRDefault="00644844" w:rsidP="00C01855">
      <w:pPr>
        <w:pStyle w:val="Considrant"/>
        <w:numPr>
          <w:ilvl w:val="0"/>
          <w:numId w:val="3"/>
        </w:numPr>
        <w:spacing w:before="120" w:after="120"/>
      </w:pPr>
      <w:r>
        <w:t xml:space="preserve">This Regulation is based on the draft implementing technical standards submitted by the European Insurance and Occupational Pensions Authority to the Commission. </w:t>
      </w:r>
    </w:p>
    <w:p w14:paraId="41782DA4" w14:textId="0EE3C0ED" w:rsidR="00E42634" w:rsidRPr="00E42634" w:rsidRDefault="00E42634" w:rsidP="00E42634">
      <w:pPr>
        <w:pStyle w:val="Considrant"/>
        <w:numPr>
          <w:ilvl w:val="0"/>
          <w:numId w:val="3"/>
        </w:numPr>
        <w:spacing w:before="120" w:after="120"/>
      </w:pPr>
      <w:r w:rsidRPr="00EC0E08">
        <w:rPr>
          <w:rFonts w:ascii="inherit" w:hAnsi="inherit"/>
          <w:color w:val="000000"/>
        </w:rPr>
        <w:t>In order to keep the reporting requirements fit-for-purpose</w:t>
      </w:r>
      <w:r w:rsidRPr="007B7D53">
        <w:rPr>
          <w:rFonts w:ascii="inherit" w:hAnsi="inherit"/>
          <w:color w:val="000000"/>
        </w:rPr>
        <w:t xml:space="preserve"> and proportionate it is </w:t>
      </w:r>
      <w:r w:rsidRPr="00E42634">
        <w:t>necessary to revise the Commission Implementing Regulation (EU)</w:t>
      </w:r>
      <w:r w:rsidRPr="004453EA">
        <w:t xml:space="preserve"> </w:t>
      </w:r>
      <w:r w:rsidRPr="00E42634">
        <w:t>2015/2452 with regard to the disclosure templates and its instructions.</w:t>
      </w:r>
    </w:p>
    <w:p w14:paraId="526CF759" w14:textId="0776D997" w:rsidR="00E42634" w:rsidRPr="00E42634" w:rsidRDefault="00E42634" w:rsidP="00E42634">
      <w:pPr>
        <w:pStyle w:val="Considrant"/>
        <w:numPr>
          <w:ilvl w:val="0"/>
          <w:numId w:val="3"/>
        </w:numPr>
        <w:spacing w:before="120" w:after="120"/>
      </w:pPr>
      <w:r w:rsidRPr="00E42634">
        <w:t>Commission Implementing Regulation (EU) 2015/2452 should therefore be repealed.</w:t>
      </w:r>
    </w:p>
    <w:p w14:paraId="3C65F30D" w14:textId="6CADD929" w:rsidR="00644844" w:rsidRPr="00E42634" w:rsidRDefault="00644844" w:rsidP="00E42634">
      <w:pPr>
        <w:pStyle w:val="Considrant"/>
        <w:numPr>
          <w:ilvl w:val="0"/>
          <w:numId w:val="3"/>
        </w:numPr>
        <w:spacing w:before="120" w:after="120"/>
        <w:rPr>
          <w:sz w:val="16"/>
          <w:szCs w:val="16"/>
        </w:rPr>
      </w:pPr>
      <w:r>
        <w:t>The European Insurance and Occupational Pensions Authority</w:t>
      </w:r>
      <w:r w:rsidR="00037984">
        <w:t xml:space="preserve"> </w:t>
      </w:r>
      <w:r>
        <w:t>has conducted open public consultations on the draft implementing technical standards on which this Regulation is based, analysed the potential related costs and benefits and requested the opinion of the Insurance and Reinsurance Stakeholder Group established by Article 37 of Regulation (EU) No 1094/2010 of the European Parliament and of the Council</w:t>
      </w:r>
      <w:r>
        <w:rPr>
          <w:rStyle w:val="FootnoteReference"/>
        </w:rPr>
        <w:footnoteReference w:id="2"/>
      </w:r>
      <w:r w:rsidRPr="00E42634">
        <w:rPr>
          <w:sz w:val="16"/>
          <w:szCs w:val="16"/>
        </w:rPr>
        <w:t>,</w:t>
      </w:r>
    </w:p>
    <w:p w14:paraId="2E2A17D6" w14:textId="77777777" w:rsidR="00644844" w:rsidRDefault="00644844" w:rsidP="00644844">
      <w:pPr>
        <w:pStyle w:val="ConsultationItalic"/>
        <w:numPr>
          <w:ilvl w:val="0"/>
          <w:numId w:val="0"/>
        </w:numPr>
        <w:tabs>
          <w:tab w:val="left" w:pos="720"/>
        </w:tabs>
        <w:jc w:val="both"/>
      </w:pPr>
    </w:p>
    <w:p w14:paraId="1FE1259D" w14:textId="77777777" w:rsidR="00644844" w:rsidRDefault="00644844" w:rsidP="00644844">
      <w:pPr>
        <w:pStyle w:val="ConsultationItalic"/>
        <w:numPr>
          <w:ilvl w:val="0"/>
          <w:numId w:val="0"/>
        </w:numPr>
        <w:tabs>
          <w:tab w:val="left" w:pos="720"/>
        </w:tabs>
        <w:jc w:val="both"/>
      </w:pPr>
    </w:p>
    <w:p w14:paraId="1B6CCCB5" w14:textId="28557962" w:rsidR="00644844" w:rsidRPr="0048214F" w:rsidRDefault="00644844" w:rsidP="0048214F">
      <w:pPr>
        <w:jc w:val="center"/>
        <w:rPr>
          <w:rFonts w:eastAsiaTheme="minorHAnsi"/>
          <w:lang w:val="en-GB"/>
        </w:rPr>
      </w:pPr>
      <w:r w:rsidRPr="0048214F">
        <w:rPr>
          <w:lang w:val="en-GB"/>
        </w:rPr>
        <w:t>HAS ADOPTED THIS REGULATION:</w:t>
      </w:r>
    </w:p>
    <w:p w14:paraId="2E0B6B01" w14:textId="770855C6" w:rsidR="001E76C1" w:rsidRPr="0048214F" w:rsidRDefault="001E76C1" w:rsidP="0048214F">
      <w:pPr>
        <w:pStyle w:val="Typedudocument"/>
        <w:rPr>
          <w:lang w:val="en-GB"/>
        </w:rPr>
      </w:pPr>
      <w:r w:rsidRPr="0048214F">
        <w:rPr>
          <w:lang w:val="en-GB"/>
        </w:rPr>
        <w:t xml:space="preserve">COMMISSION IMPLEMENTING REGULATION (EU) </w:t>
      </w:r>
      <w:proofErr w:type="spellStart"/>
      <w:r w:rsidR="00A66862">
        <w:rPr>
          <w:lang w:val="en-GB"/>
        </w:rPr>
        <w:t>xxxxx</w:t>
      </w:r>
      <w:proofErr w:type="spellEnd"/>
    </w:p>
    <w:p w14:paraId="0714BF49" w14:textId="15CF844B" w:rsidR="001E76C1" w:rsidRPr="0048214F" w:rsidRDefault="001E76C1" w:rsidP="0048214F">
      <w:pPr>
        <w:pStyle w:val="Datedadoption"/>
        <w:rPr>
          <w:lang w:val="en-GB"/>
        </w:rPr>
      </w:pPr>
      <w:proofErr w:type="gramStart"/>
      <w:r w:rsidRPr="0048214F">
        <w:rPr>
          <w:lang w:val="en-GB"/>
        </w:rPr>
        <w:lastRenderedPageBreak/>
        <w:t>of</w:t>
      </w:r>
      <w:proofErr w:type="gramEnd"/>
      <w:r w:rsidRPr="0048214F">
        <w:rPr>
          <w:lang w:val="en-GB"/>
        </w:rPr>
        <w:t xml:space="preserve"> </w:t>
      </w:r>
      <w:proofErr w:type="spellStart"/>
      <w:r w:rsidR="00F71028">
        <w:rPr>
          <w:lang w:val="en-GB"/>
        </w:rPr>
        <w:t>xxxx</w:t>
      </w:r>
      <w:proofErr w:type="spellEnd"/>
      <w:r w:rsidR="007C62D3" w:rsidRPr="0048214F">
        <w:rPr>
          <w:lang w:val="en-GB"/>
        </w:rPr>
        <w:t>…</w:t>
      </w:r>
    </w:p>
    <w:p w14:paraId="41FB16A8" w14:textId="3C7A3936" w:rsidR="001E76C1" w:rsidRPr="0048214F" w:rsidRDefault="001E76C1" w:rsidP="0048214F">
      <w:pPr>
        <w:pStyle w:val="Titreobjet"/>
        <w:rPr>
          <w:lang w:val="en-GB"/>
        </w:rPr>
      </w:pPr>
      <w:proofErr w:type="gramStart"/>
      <w:r w:rsidRPr="0048214F">
        <w:rPr>
          <w:lang w:val="en-GB"/>
        </w:rPr>
        <w:t>laying</w:t>
      </w:r>
      <w:proofErr w:type="gramEnd"/>
      <w:r w:rsidRPr="0048214F">
        <w:rPr>
          <w:lang w:val="en-GB"/>
        </w:rPr>
        <w:t xml:space="preserve"> down implementing technical standards with regard to the procedures, formats and templates of the solvency and financial condition report in accordance with Directive 2009/138/EC of the European Parliament and of the Council</w:t>
      </w:r>
      <w:r w:rsidR="00A66862">
        <w:rPr>
          <w:lang w:val="en-GB"/>
        </w:rPr>
        <w:t xml:space="preserve"> and repealing Implementing Regulation (EU) 2015/2452</w:t>
      </w:r>
    </w:p>
    <w:p w14:paraId="58A0FB47" w14:textId="77777777" w:rsidR="001E76C1" w:rsidRPr="0048214F" w:rsidRDefault="001E76C1" w:rsidP="0048214F">
      <w:pPr>
        <w:pStyle w:val="Sous-titreobjet"/>
        <w:rPr>
          <w:lang w:val="en-GB"/>
        </w:rPr>
      </w:pPr>
      <w:r w:rsidRPr="0048214F">
        <w:rPr>
          <w:lang w:val="en-GB"/>
        </w:rPr>
        <w:t>(Text with EEA relevance)</w:t>
      </w:r>
    </w:p>
    <w:p w14:paraId="32D4C13D" w14:textId="77777777" w:rsidR="001E76C1" w:rsidRPr="0048214F" w:rsidRDefault="001E76C1" w:rsidP="0048214F">
      <w:pPr>
        <w:pStyle w:val="Titrearticle"/>
        <w:rPr>
          <w:lang w:val="en-GB"/>
        </w:rPr>
      </w:pPr>
      <w:r w:rsidRPr="0048214F">
        <w:rPr>
          <w:lang w:val="en-GB"/>
        </w:rPr>
        <w:t>Article 1</w:t>
      </w:r>
    </w:p>
    <w:p w14:paraId="270610F6" w14:textId="77777777" w:rsidR="001E76C1" w:rsidRPr="0048214F" w:rsidRDefault="001E76C1" w:rsidP="0048214F">
      <w:pPr>
        <w:pStyle w:val="NormalCentered"/>
        <w:rPr>
          <w:b/>
          <w:bCs/>
          <w:lang w:val="en-GB"/>
        </w:rPr>
      </w:pPr>
      <w:r w:rsidRPr="0048214F">
        <w:rPr>
          <w:b/>
          <w:bCs/>
          <w:lang w:val="en-GB"/>
        </w:rPr>
        <w:t>Subject matter</w:t>
      </w:r>
    </w:p>
    <w:p w14:paraId="2EC57201" w14:textId="77777777" w:rsidR="001E76C1" w:rsidRPr="0048214F" w:rsidRDefault="001E76C1" w:rsidP="00E42634">
      <w:pPr>
        <w:rPr>
          <w:lang w:val="en-GB"/>
        </w:rPr>
      </w:pPr>
      <w:r w:rsidRPr="0048214F">
        <w:rPr>
          <w:lang w:val="en-GB"/>
        </w:rPr>
        <w:t>This Regulation lays down implementing technical standards on the solvency and financial condition report by establishing procedures, formats and the templates for the disclosure of information referred to in Article 51 of Directive 2009/138/EC for individual insurance and reinsurance undertakings and in Article 256 of Directive 2009/138/EC for groups.</w:t>
      </w:r>
    </w:p>
    <w:p w14:paraId="67B35286" w14:textId="77777777" w:rsidR="001E76C1" w:rsidRPr="0048214F" w:rsidRDefault="001E76C1" w:rsidP="0048214F">
      <w:pPr>
        <w:pStyle w:val="Titrearticle"/>
        <w:rPr>
          <w:lang w:val="en-GB"/>
        </w:rPr>
      </w:pPr>
      <w:r w:rsidRPr="0048214F">
        <w:rPr>
          <w:lang w:val="en-GB"/>
        </w:rPr>
        <w:t>Article 2</w:t>
      </w:r>
    </w:p>
    <w:p w14:paraId="6571C76D" w14:textId="77777777" w:rsidR="001E76C1" w:rsidRPr="0048214F" w:rsidRDefault="001E76C1" w:rsidP="0048214F">
      <w:pPr>
        <w:pStyle w:val="NormalCentered"/>
        <w:rPr>
          <w:b/>
          <w:bCs/>
          <w:lang w:val="en-GB"/>
        </w:rPr>
      </w:pPr>
      <w:r w:rsidRPr="0048214F">
        <w:rPr>
          <w:b/>
          <w:bCs/>
          <w:lang w:val="en-GB"/>
        </w:rPr>
        <w:t>Public disclosure formats</w:t>
      </w:r>
    </w:p>
    <w:p w14:paraId="58FC9E40" w14:textId="77777777" w:rsidR="001E76C1" w:rsidRPr="0048214F" w:rsidRDefault="001E76C1" w:rsidP="00E42634">
      <w:pPr>
        <w:rPr>
          <w:lang w:val="en-GB"/>
        </w:rPr>
      </w:pPr>
      <w:r w:rsidRPr="0048214F">
        <w:rPr>
          <w:lang w:val="en-GB"/>
        </w:rPr>
        <w:t>When disclosing the information referred to in this Regulation figures reflecting monetary amounts shall be disclosed in thousands of units.</w:t>
      </w:r>
    </w:p>
    <w:p w14:paraId="6E4FEE8A" w14:textId="77777777" w:rsidR="001E76C1" w:rsidRPr="0048214F" w:rsidRDefault="001E76C1" w:rsidP="0048214F">
      <w:pPr>
        <w:pStyle w:val="Titrearticle"/>
        <w:rPr>
          <w:lang w:val="en-GB"/>
        </w:rPr>
      </w:pPr>
      <w:r w:rsidRPr="0048214F">
        <w:rPr>
          <w:lang w:val="en-GB"/>
        </w:rPr>
        <w:t>Article 3</w:t>
      </w:r>
    </w:p>
    <w:p w14:paraId="0B7F168D" w14:textId="77777777" w:rsidR="001E76C1" w:rsidRPr="0048214F" w:rsidRDefault="001E76C1" w:rsidP="0048214F">
      <w:pPr>
        <w:pStyle w:val="NormalCentered"/>
        <w:rPr>
          <w:b/>
          <w:bCs/>
          <w:lang w:val="en-GB"/>
        </w:rPr>
      </w:pPr>
      <w:r w:rsidRPr="0048214F">
        <w:rPr>
          <w:b/>
          <w:bCs/>
          <w:lang w:val="en-GB"/>
        </w:rPr>
        <w:t>Currency</w:t>
      </w:r>
    </w:p>
    <w:p w14:paraId="2590E0C9" w14:textId="77777777" w:rsidR="001E76C1" w:rsidRPr="0048214F" w:rsidRDefault="001E76C1" w:rsidP="00B91B2D">
      <w:pPr>
        <w:jc w:val="left"/>
        <w:rPr>
          <w:lang w:val="en-GB"/>
        </w:rPr>
      </w:pPr>
      <w:r w:rsidRPr="0048214F">
        <w:rPr>
          <w:lang w:val="en-GB"/>
        </w:rPr>
        <w:t>1.</w:t>
      </w:r>
      <w:r w:rsidRPr="0048214F">
        <w:rPr>
          <w:lang w:val="en-GB"/>
        </w:rPr>
        <w:tab/>
        <w:t>For the purposes of this Regulation ‘reporting currency’, unless otherwise required by the supervisory authority, shall be:</w:t>
      </w:r>
    </w:p>
    <w:p w14:paraId="420C5663" w14:textId="721E6377" w:rsidR="001E76C1" w:rsidRPr="0048214F" w:rsidRDefault="001E76C1" w:rsidP="00B91B2D">
      <w:pPr>
        <w:pStyle w:val="Point0"/>
        <w:jc w:val="left"/>
        <w:rPr>
          <w:lang w:val="en-GB"/>
        </w:rPr>
      </w:pPr>
      <w:r w:rsidRPr="0048214F">
        <w:rPr>
          <w:lang w:val="en-GB"/>
        </w:rPr>
        <w:t>(a)</w:t>
      </w:r>
      <w:r w:rsidRPr="0048214F">
        <w:rPr>
          <w:lang w:val="en-GB"/>
        </w:rPr>
        <w:tab/>
      </w:r>
      <w:proofErr w:type="gramStart"/>
      <w:r w:rsidRPr="0048214F">
        <w:rPr>
          <w:lang w:val="en-GB"/>
        </w:rPr>
        <w:t>for</w:t>
      </w:r>
      <w:proofErr w:type="gramEnd"/>
      <w:r w:rsidRPr="0048214F">
        <w:rPr>
          <w:lang w:val="en-GB"/>
        </w:rPr>
        <w:t xml:space="preserve"> individual disclosure, the currency used for the preparation of the insurance or reinsurance undertaking's financial statements;</w:t>
      </w:r>
    </w:p>
    <w:p w14:paraId="6E5AE5DC" w14:textId="12DAB548" w:rsidR="001E76C1" w:rsidRPr="0048214F" w:rsidRDefault="001E76C1" w:rsidP="00B91B2D">
      <w:pPr>
        <w:pStyle w:val="Point0"/>
        <w:jc w:val="left"/>
        <w:rPr>
          <w:lang w:val="en-GB"/>
        </w:rPr>
      </w:pPr>
      <w:r w:rsidRPr="0048214F">
        <w:rPr>
          <w:lang w:val="en-GB"/>
        </w:rPr>
        <w:t>(b)</w:t>
      </w:r>
      <w:r w:rsidRPr="0048214F">
        <w:rPr>
          <w:lang w:val="en-GB"/>
        </w:rPr>
        <w:tab/>
      </w:r>
      <w:proofErr w:type="gramStart"/>
      <w:r w:rsidRPr="0048214F">
        <w:rPr>
          <w:lang w:val="en-GB"/>
        </w:rPr>
        <w:t>for</w:t>
      </w:r>
      <w:proofErr w:type="gramEnd"/>
      <w:r w:rsidRPr="0048214F">
        <w:rPr>
          <w:lang w:val="en-GB"/>
        </w:rPr>
        <w:t xml:space="preserve"> group disclosure, the currency used for the preparation of the consolidated financial statements.</w:t>
      </w:r>
    </w:p>
    <w:p w14:paraId="30311738" w14:textId="77777777" w:rsidR="001E76C1" w:rsidRPr="0048214F" w:rsidRDefault="001E76C1" w:rsidP="00B91B2D">
      <w:pPr>
        <w:jc w:val="left"/>
        <w:rPr>
          <w:lang w:val="en-GB"/>
        </w:rPr>
      </w:pPr>
      <w:r w:rsidRPr="0048214F">
        <w:rPr>
          <w:lang w:val="en-GB"/>
        </w:rPr>
        <w:t>2.</w:t>
      </w:r>
      <w:r w:rsidRPr="0048214F">
        <w:rPr>
          <w:lang w:val="en-GB"/>
        </w:rPr>
        <w:tab/>
        <w:t>Figures reflecting monetary amounts shall be disclosed in the reporting currency. Any other currency than the reporting currency shall be converted into the reporting currency.</w:t>
      </w:r>
    </w:p>
    <w:p w14:paraId="66548134" w14:textId="77777777" w:rsidR="001E76C1" w:rsidRPr="0048214F" w:rsidRDefault="001E76C1" w:rsidP="00B91B2D">
      <w:pPr>
        <w:jc w:val="left"/>
        <w:rPr>
          <w:lang w:val="en-GB"/>
        </w:rPr>
      </w:pPr>
      <w:r w:rsidRPr="0048214F">
        <w:rPr>
          <w:lang w:val="en-GB"/>
        </w:rPr>
        <w:t>3.</w:t>
      </w:r>
      <w:r w:rsidRPr="0048214F">
        <w:rPr>
          <w:lang w:val="en-GB"/>
        </w:rPr>
        <w:tab/>
        <w:t>When expressing the value of any asset or liability denominated in a currency other than the reporting currency, the value shall be converted in the reporting currency as if the conversion had taken place at the closing rate on the last day for which the appropriate rate is available in the reporting period to which the asset or liability relates.</w:t>
      </w:r>
    </w:p>
    <w:p w14:paraId="52ED9B21" w14:textId="77777777" w:rsidR="001E76C1" w:rsidRPr="0048214F" w:rsidRDefault="001E76C1" w:rsidP="00B91B2D">
      <w:pPr>
        <w:jc w:val="left"/>
        <w:rPr>
          <w:lang w:val="en-GB"/>
        </w:rPr>
      </w:pPr>
      <w:r w:rsidRPr="0048214F">
        <w:rPr>
          <w:lang w:val="en-GB"/>
        </w:rPr>
        <w:t>4.</w:t>
      </w:r>
      <w:r w:rsidRPr="0048214F">
        <w:rPr>
          <w:lang w:val="en-GB"/>
        </w:rPr>
        <w:tab/>
        <w:t>When expressing the value of any income or expense, the value shall be converted in the reporting currency using such basis of conversion as that used for accounting purposes.</w:t>
      </w:r>
    </w:p>
    <w:p w14:paraId="006528C5" w14:textId="77777777" w:rsidR="001E76C1" w:rsidRPr="0048214F" w:rsidRDefault="001E76C1" w:rsidP="00B91B2D">
      <w:pPr>
        <w:jc w:val="left"/>
        <w:rPr>
          <w:lang w:val="en-GB"/>
        </w:rPr>
      </w:pPr>
      <w:r w:rsidRPr="0048214F">
        <w:rPr>
          <w:lang w:val="en-GB"/>
        </w:rPr>
        <w:t>5.</w:t>
      </w:r>
      <w:r w:rsidRPr="0048214F">
        <w:rPr>
          <w:lang w:val="en-GB"/>
        </w:rPr>
        <w:tab/>
        <w:t>The conversion into the reporting currency shall be calculated by applying the exchange rate from the same source as used for the insurance or reinsurance undertaking's financial statements in case of individual reporting or for the consolidated financial statements in case of group reporting unless otherwise required by the supervisory authority.</w:t>
      </w:r>
    </w:p>
    <w:p w14:paraId="43D9B0A2" w14:textId="6896D785" w:rsidR="001E76C1" w:rsidRPr="00E46447" w:rsidRDefault="001E76C1" w:rsidP="001E76C1">
      <w:pPr>
        <w:pStyle w:val="Titrearticle"/>
        <w:rPr>
          <w:lang w:val="en-GB"/>
        </w:rPr>
      </w:pPr>
      <w:r w:rsidRPr="00E46447">
        <w:rPr>
          <w:lang w:val="en-GB"/>
        </w:rPr>
        <w:lastRenderedPageBreak/>
        <w:t>Article 4</w:t>
      </w:r>
    </w:p>
    <w:p w14:paraId="115A10FF" w14:textId="77777777" w:rsidR="001E76C1" w:rsidRPr="00E46447" w:rsidRDefault="001E76C1" w:rsidP="001E76C1">
      <w:pPr>
        <w:pStyle w:val="NormalCentered"/>
        <w:rPr>
          <w:b/>
          <w:bCs/>
          <w:lang w:val="en-GB"/>
        </w:rPr>
      </w:pPr>
      <w:r w:rsidRPr="00E46447">
        <w:rPr>
          <w:b/>
          <w:bCs/>
          <w:lang w:val="en-GB"/>
        </w:rPr>
        <w:t>Templates for the solvency and financial condition report of individual undertakings</w:t>
      </w:r>
    </w:p>
    <w:p w14:paraId="474AB5D7" w14:textId="77777777" w:rsidR="001E76C1" w:rsidRPr="00E46447" w:rsidRDefault="001E76C1" w:rsidP="001E76C1">
      <w:pPr>
        <w:rPr>
          <w:lang w:val="en-GB"/>
        </w:rPr>
      </w:pPr>
      <w:r w:rsidRPr="00E46447">
        <w:rPr>
          <w:lang w:val="en-GB"/>
        </w:rPr>
        <w:t>Insurance and reinsurance undertakings shall publicly disclose as part of their solvency and financial condition report at least the following templates:</w:t>
      </w:r>
    </w:p>
    <w:p w14:paraId="182EE395" w14:textId="5512F25C" w:rsidR="001E76C1" w:rsidRPr="00E46447" w:rsidRDefault="001E76C1" w:rsidP="00794442">
      <w:pPr>
        <w:pStyle w:val="Point0"/>
        <w:numPr>
          <w:ilvl w:val="0"/>
          <w:numId w:val="7"/>
        </w:numPr>
        <w:ind w:left="851" w:firstLine="0"/>
        <w:rPr>
          <w:lang w:val="en-GB"/>
        </w:rPr>
      </w:pPr>
      <w:r w:rsidRPr="00E46447">
        <w:rPr>
          <w:lang w:val="en-GB"/>
        </w:rPr>
        <w:t>template S.02.01.02 of Annex I specifying balance sheet information using the valuation in accordance with Article 75 of Directive 2009/138/EC, following the instructions set out in section S.02.01 of Annex II to this Regulation;</w:t>
      </w:r>
    </w:p>
    <w:p w14:paraId="458C3B41" w14:textId="6493BD30" w:rsidR="00C01855" w:rsidRPr="00E46447" w:rsidRDefault="008226E0" w:rsidP="00794442">
      <w:pPr>
        <w:pStyle w:val="Point0"/>
        <w:ind w:firstLine="0"/>
        <w:rPr>
          <w:lang w:val="en-GB"/>
        </w:rPr>
      </w:pPr>
      <w:r w:rsidRPr="00E46447">
        <w:rPr>
          <w:lang w:val="en-GB"/>
        </w:rPr>
        <w:t xml:space="preserve">(b) </w:t>
      </w:r>
      <w:proofErr w:type="gramStart"/>
      <w:r w:rsidR="00C01855" w:rsidRPr="00E46447">
        <w:rPr>
          <w:lang w:val="en-GB"/>
        </w:rPr>
        <w:t>template</w:t>
      </w:r>
      <w:proofErr w:type="gramEnd"/>
      <w:r w:rsidR="00C01855" w:rsidRPr="00E46447">
        <w:rPr>
          <w:lang w:val="en-GB"/>
        </w:rPr>
        <w:t xml:space="preserve"> S.04.05.02 of Annex I specifying premiums, claims and expenses by country, following the instructions set out in section S.04.05 of Annex II to this Regulation;</w:t>
      </w:r>
    </w:p>
    <w:p w14:paraId="59DD82E0" w14:textId="52E88757" w:rsidR="001E76C1" w:rsidRPr="00E46447" w:rsidRDefault="001E76C1" w:rsidP="001E76C1">
      <w:pPr>
        <w:pStyle w:val="Point0"/>
        <w:rPr>
          <w:lang w:val="en-GB"/>
        </w:rPr>
      </w:pPr>
      <w:r w:rsidRPr="00E46447">
        <w:rPr>
          <w:lang w:val="en-GB"/>
        </w:rPr>
        <w:tab/>
        <w:t>(</w:t>
      </w:r>
      <w:r w:rsidR="00153584" w:rsidRPr="00E46447">
        <w:rPr>
          <w:lang w:val="en-GB"/>
        </w:rPr>
        <w:t>c</w:t>
      </w:r>
      <w:r w:rsidRPr="00E46447">
        <w:rPr>
          <w:lang w:val="en-GB"/>
        </w:rPr>
        <w:t>)</w:t>
      </w:r>
      <w:r w:rsidRPr="00E46447">
        <w:rPr>
          <w:lang w:val="en-GB"/>
        </w:rPr>
        <w:tab/>
        <w:t>template S.05.01.02 of Annex I, specifying information on premiums, claims and expenses using the valuation and recognition principles used in the undertaking's financial statements, following the instructions set out in section S.05.01 of Annex II to this Regulation, for each line of business as defined in Annex I of Delegated Regulation (EU) 2015/35;</w:t>
      </w:r>
    </w:p>
    <w:p w14:paraId="7587F757" w14:textId="155F4A6D" w:rsidR="001E76C1" w:rsidRPr="00BC3781" w:rsidRDefault="001E76C1" w:rsidP="001E76C1">
      <w:pPr>
        <w:pStyle w:val="Point0"/>
        <w:rPr>
          <w:lang w:val="en-GB"/>
        </w:rPr>
      </w:pPr>
      <w:r w:rsidRPr="00E46447">
        <w:rPr>
          <w:lang w:val="en-GB"/>
        </w:rPr>
        <w:tab/>
      </w:r>
      <w:r w:rsidRPr="00BC3781">
        <w:rPr>
          <w:lang w:val="en-GB"/>
        </w:rPr>
        <w:t>(d)</w:t>
      </w:r>
      <w:r w:rsidRPr="00BC3781">
        <w:rPr>
          <w:lang w:val="en-GB"/>
        </w:rPr>
        <w:tab/>
        <w:t>template S.12.01.02 of Annex I, specifying information on the technical provisions relating to life insurance and health insurance pursued on a similar technical basis to that of life insurance (‘health SLT’) for each line of business as defined in Annex I to Delegated Regulation (EU) 2015/35, following the instructions set out in section S.12.01 of Annex II to this Regulation;</w:t>
      </w:r>
    </w:p>
    <w:p w14:paraId="7C28A82F" w14:textId="77777777" w:rsidR="001E76C1" w:rsidRPr="00BC3781" w:rsidRDefault="001E76C1" w:rsidP="001E76C1">
      <w:pPr>
        <w:pStyle w:val="Point0"/>
        <w:rPr>
          <w:lang w:val="en-GB"/>
        </w:rPr>
      </w:pPr>
      <w:r w:rsidRPr="00BC3781">
        <w:rPr>
          <w:lang w:val="en-GB"/>
        </w:rPr>
        <w:tab/>
        <w:t>(e)</w:t>
      </w:r>
      <w:r w:rsidRPr="00BC3781">
        <w:rPr>
          <w:lang w:val="en-GB"/>
        </w:rPr>
        <w:tab/>
        <w:t>template S.17.01.02 of Annex I, specifying information on non-life technical provisions, following the instructions set out in section S.17.01 of Annex II to this Regulation for each line of business as defined in Annex I of Delegated Regulation (EU) 2015/35;</w:t>
      </w:r>
    </w:p>
    <w:p w14:paraId="3EC8FC59" w14:textId="77777777" w:rsidR="001E76C1" w:rsidRPr="00BC3781" w:rsidRDefault="001E76C1" w:rsidP="001E76C1">
      <w:pPr>
        <w:pStyle w:val="Point0"/>
        <w:rPr>
          <w:lang w:val="en-GB"/>
        </w:rPr>
      </w:pPr>
      <w:r w:rsidRPr="00BC3781">
        <w:rPr>
          <w:lang w:val="en-GB"/>
        </w:rPr>
        <w:tab/>
        <w:t>(f)</w:t>
      </w:r>
      <w:r w:rsidRPr="00BC3781">
        <w:rPr>
          <w:lang w:val="en-GB"/>
        </w:rPr>
        <w:tab/>
        <w:t>template S.19.01.21 of Annex I, specifying information on non-life insurance claims in the format of development triangles, following the instructions set out in section S.19.01 of Annex II for the total non-life business;</w:t>
      </w:r>
    </w:p>
    <w:p w14:paraId="3F85C41D" w14:textId="77777777" w:rsidR="001E76C1" w:rsidRPr="00BC3781" w:rsidRDefault="001E76C1" w:rsidP="001E76C1">
      <w:pPr>
        <w:pStyle w:val="Point0"/>
        <w:rPr>
          <w:lang w:val="en-GB"/>
        </w:rPr>
      </w:pPr>
      <w:r w:rsidRPr="00BC3781">
        <w:rPr>
          <w:lang w:val="en-GB"/>
        </w:rPr>
        <w:tab/>
        <w:t>(g)</w:t>
      </w:r>
      <w:r w:rsidRPr="00BC3781">
        <w:rPr>
          <w:lang w:val="en-GB"/>
        </w:rPr>
        <w:tab/>
        <w:t>template S.22.01.21 of Annex I, specifying information on the impact of the long term guarantee and transitional measures, following the instructions set out in section S.22.01 of Annex II;</w:t>
      </w:r>
    </w:p>
    <w:p w14:paraId="09C167F4" w14:textId="77777777" w:rsidR="001E76C1" w:rsidRPr="00BC3781" w:rsidRDefault="001E76C1" w:rsidP="001E76C1">
      <w:pPr>
        <w:pStyle w:val="Point0"/>
        <w:rPr>
          <w:lang w:val="en-GB"/>
        </w:rPr>
      </w:pPr>
      <w:r w:rsidRPr="00BC3781">
        <w:rPr>
          <w:lang w:val="en-GB"/>
        </w:rPr>
        <w:tab/>
        <w:t>(h)</w:t>
      </w:r>
      <w:r w:rsidRPr="00BC3781">
        <w:rPr>
          <w:lang w:val="en-GB"/>
        </w:rPr>
        <w:tab/>
      </w:r>
      <w:proofErr w:type="gramStart"/>
      <w:r w:rsidRPr="00BC3781">
        <w:rPr>
          <w:lang w:val="en-GB"/>
        </w:rPr>
        <w:t>template</w:t>
      </w:r>
      <w:proofErr w:type="gramEnd"/>
      <w:r w:rsidRPr="00BC3781">
        <w:rPr>
          <w:lang w:val="en-GB"/>
        </w:rPr>
        <w:t xml:space="preserve"> S.23.01.01 of Annex I, specifying information on own funds, including basic own funds and ancillary own funds, following the instructions set out in section S.23.01 of Annex II;</w:t>
      </w:r>
    </w:p>
    <w:p w14:paraId="5BBD9FD4" w14:textId="77777777" w:rsidR="001E76C1" w:rsidRPr="00BC3781" w:rsidRDefault="001E76C1" w:rsidP="001E76C1">
      <w:pPr>
        <w:pStyle w:val="Point0"/>
        <w:rPr>
          <w:lang w:val="en-GB"/>
        </w:rPr>
      </w:pPr>
      <w:r w:rsidRPr="00BC3781">
        <w:rPr>
          <w:lang w:val="en-GB"/>
        </w:rPr>
        <w:tab/>
        <w:t>(</w:t>
      </w:r>
      <w:proofErr w:type="spellStart"/>
      <w:r w:rsidRPr="00BC3781">
        <w:rPr>
          <w:lang w:val="en-GB"/>
        </w:rPr>
        <w:t>i</w:t>
      </w:r>
      <w:proofErr w:type="spellEnd"/>
      <w:r w:rsidRPr="00BC3781">
        <w:rPr>
          <w:lang w:val="en-GB"/>
        </w:rPr>
        <w:t>)</w:t>
      </w:r>
      <w:r w:rsidRPr="00BC3781">
        <w:rPr>
          <w:lang w:val="en-GB"/>
        </w:rPr>
        <w:tab/>
      </w:r>
      <w:proofErr w:type="gramStart"/>
      <w:r w:rsidRPr="00BC3781">
        <w:rPr>
          <w:lang w:val="en-GB"/>
        </w:rPr>
        <w:t>template</w:t>
      </w:r>
      <w:proofErr w:type="gramEnd"/>
      <w:r w:rsidRPr="00BC3781">
        <w:rPr>
          <w:lang w:val="en-GB"/>
        </w:rPr>
        <w:t xml:space="preserve"> S.25.01.21 of Annex I, specifying information on the Solvency Capital Requirement calculated using the standard formula, following the instructions set out in section S.25.01 of Annex II;</w:t>
      </w:r>
    </w:p>
    <w:p w14:paraId="14A97DF5" w14:textId="76F80ED6" w:rsidR="001E76C1" w:rsidRPr="00BC3781" w:rsidRDefault="001E76C1" w:rsidP="001E76C1">
      <w:pPr>
        <w:pStyle w:val="Point0"/>
        <w:rPr>
          <w:lang w:val="en-GB"/>
        </w:rPr>
      </w:pPr>
      <w:r w:rsidRPr="00BC3781">
        <w:rPr>
          <w:lang w:val="en-GB"/>
        </w:rPr>
        <w:tab/>
        <w:t>(j)</w:t>
      </w:r>
      <w:r w:rsidRPr="00BC3781">
        <w:rPr>
          <w:lang w:val="en-GB"/>
        </w:rPr>
        <w:tab/>
        <w:t>template S.25.0</w:t>
      </w:r>
      <w:r w:rsidR="00B40A22" w:rsidRPr="00BC3781">
        <w:rPr>
          <w:lang w:val="en-GB"/>
        </w:rPr>
        <w:t>5</w:t>
      </w:r>
      <w:r w:rsidRPr="00BC3781">
        <w:rPr>
          <w:lang w:val="en-GB"/>
        </w:rPr>
        <w:t>.21 of Annex I, specifying information on the Solvency Capital Requirement calculated using a partial internal model</w:t>
      </w:r>
      <w:r w:rsidR="00153584" w:rsidRPr="00BC3781">
        <w:rPr>
          <w:lang w:val="en-GB"/>
        </w:rPr>
        <w:t xml:space="preserve"> or a full internal model</w:t>
      </w:r>
      <w:r w:rsidRPr="00BC3781">
        <w:rPr>
          <w:lang w:val="en-GB"/>
        </w:rPr>
        <w:t>, following the instructions set out in section S.25.0</w:t>
      </w:r>
      <w:r w:rsidR="00B40A22" w:rsidRPr="00BC3781">
        <w:rPr>
          <w:lang w:val="en-GB"/>
        </w:rPr>
        <w:t>5</w:t>
      </w:r>
      <w:r w:rsidRPr="00BC3781">
        <w:rPr>
          <w:lang w:val="en-GB"/>
        </w:rPr>
        <w:t xml:space="preserve"> of Annex II;</w:t>
      </w:r>
    </w:p>
    <w:p w14:paraId="6E9B2DD2" w14:textId="191C5660" w:rsidR="001E76C1" w:rsidRPr="00BC3781" w:rsidRDefault="001E76C1" w:rsidP="001E76C1">
      <w:pPr>
        <w:pStyle w:val="Point0"/>
        <w:rPr>
          <w:lang w:val="en-GB"/>
        </w:rPr>
      </w:pPr>
      <w:r w:rsidRPr="00BC3781">
        <w:rPr>
          <w:lang w:val="en-GB"/>
        </w:rPr>
        <w:tab/>
        <w:t>(</w:t>
      </w:r>
      <w:r w:rsidR="00153584" w:rsidRPr="00BC3781">
        <w:rPr>
          <w:lang w:val="en-GB"/>
        </w:rPr>
        <w:t>k</w:t>
      </w:r>
      <w:r w:rsidRPr="00BC3781">
        <w:rPr>
          <w:lang w:val="en-GB"/>
        </w:rPr>
        <w:t>)</w:t>
      </w:r>
      <w:r w:rsidRPr="00BC3781">
        <w:rPr>
          <w:lang w:val="en-GB"/>
        </w:rPr>
        <w:tab/>
        <w:t>template S.28.01.01 of Annex I, specifying the Minimum Capital Requirement for insurance and reinsurance undertakings engaged in only life or only non-life insurance or reinsurance activity, following the instructions set out in section S.28.01 of Annex II;</w:t>
      </w:r>
    </w:p>
    <w:p w14:paraId="5239B8EA" w14:textId="6F2A6402" w:rsidR="001E76C1" w:rsidRPr="00BC3781" w:rsidRDefault="001E76C1" w:rsidP="001E76C1">
      <w:pPr>
        <w:pStyle w:val="Point0"/>
        <w:rPr>
          <w:lang w:val="en-GB"/>
        </w:rPr>
      </w:pPr>
      <w:r w:rsidRPr="00BC3781">
        <w:rPr>
          <w:lang w:val="en-GB"/>
        </w:rPr>
        <w:lastRenderedPageBreak/>
        <w:tab/>
        <w:t>(</w:t>
      </w:r>
      <w:r w:rsidR="00153584" w:rsidRPr="00BC3781">
        <w:rPr>
          <w:lang w:val="en-GB"/>
        </w:rPr>
        <w:t>l</w:t>
      </w:r>
      <w:r w:rsidRPr="00BC3781">
        <w:rPr>
          <w:lang w:val="en-GB"/>
        </w:rPr>
        <w:t>)</w:t>
      </w:r>
      <w:r w:rsidRPr="00BC3781">
        <w:rPr>
          <w:lang w:val="en-GB"/>
        </w:rPr>
        <w:tab/>
      </w:r>
      <w:proofErr w:type="gramStart"/>
      <w:r w:rsidRPr="00BC3781">
        <w:rPr>
          <w:lang w:val="en-GB"/>
        </w:rPr>
        <w:t>template</w:t>
      </w:r>
      <w:proofErr w:type="gramEnd"/>
      <w:r w:rsidRPr="00BC3781">
        <w:rPr>
          <w:lang w:val="en-GB"/>
        </w:rPr>
        <w:t xml:space="preserve"> S.28.02.01 of Annex I, specifying the Minimum Capital Requirement for insurance undertakings engaged in both life and non-life insurance activity, following the instructions set out in section S.28.02 of Annex II.</w:t>
      </w:r>
    </w:p>
    <w:p w14:paraId="0B77CAF1" w14:textId="77777777" w:rsidR="001E76C1" w:rsidRPr="00BC3781" w:rsidRDefault="001E76C1" w:rsidP="001E76C1">
      <w:pPr>
        <w:pStyle w:val="Titrearticle"/>
        <w:rPr>
          <w:lang w:val="en-GB"/>
        </w:rPr>
      </w:pPr>
      <w:r w:rsidRPr="00BC3781">
        <w:rPr>
          <w:lang w:val="en-GB"/>
        </w:rPr>
        <w:t>Article 5</w:t>
      </w:r>
    </w:p>
    <w:p w14:paraId="0DB1428A" w14:textId="77777777" w:rsidR="001E76C1" w:rsidRPr="00BC3781" w:rsidRDefault="001E76C1" w:rsidP="001E76C1">
      <w:pPr>
        <w:pStyle w:val="NormalCentered"/>
        <w:rPr>
          <w:b/>
          <w:bCs/>
          <w:lang w:val="en-GB"/>
        </w:rPr>
      </w:pPr>
      <w:r w:rsidRPr="00BC3781">
        <w:rPr>
          <w:b/>
          <w:bCs/>
          <w:lang w:val="en-GB"/>
        </w:rPr>
        <w:t>Templates for the solvency and financial condition report of groups</w:t>
      </w:r>
    </w:p>
    <w:p w14:paraId="64526A71" w14:textId="77777777" w:rsidR="001E76C1" w:rsidRPr="00BC3781" w:rsidRDefault="001E76C1" w:rsidP="001E76C1">
      <w:pPr>
        <w:rPr>
          <w:lang w:val="en-GB"/>
        </w:rPr>
      </w:pPr>
      <w:r w:rsidRPr="00BC3781">
        <w:rPr>
          <w:lang w:val="en-GB"/>
        </w:rPr>
        <w:t>Participating insurance and reinsurance undertakings, insurance holding companies or mixed financial holding companies shall publicly disclose as part of their group solvency and financial condition report at least the following templates:</w:t>
      </w:r>
    </w:p>
    <w:p w14:paraId="17FA8CB6" w14:textId="37113579" w:rsidR="001E76C1" w:rsidRPr="00BC3781" w:rsidRDefault="001E76C1" w:rsidP="001E76C1">
      <w:pPr>
        <w:pStyle w:val="Point0"/>
        <w:rPr>
          <w:lang w:val="en-GB"/>
        </w:rPr>
      </w:pPr>
      <w:r w:rsidRPr="00BC3781">
        <w:rPr>
          <w:lang w:val="en-GB"/>
        </w:rPr>
        <w:tab/>
        <w:t>(</w:t>
      </w:r>
      <w:r w:rsidR="006E1EF5">
        <w:rPr>
          <w:lang w:val="en-GB"/>
        </w:rPr>
        <w:t>a</w:t>
      </w:r>
      <w:r w:rsidRPr="00BC3781">
        <w:rPr>
          <w:lang w:val="en-GB"/>
        </w:rPr>
        <w:t>)</w:t>
      </w:r>
      <w:r w:rsidRPr="00BC3781">
        <w:rPr>
          <w:lang w:val="en-GB"/>
        </w:rPr>
        <w:tab/>
        <w:t>where, for the calculation of the group solvency, the group uses method 1 as defined in Article 230 of Directive 2009/138/EC, either exclusively or in combination with method 2 as defined in Article 233 of Directive 2009/138/EC, template S.02.01.02 of Annex I to this Regulation, specifying balance sheet information, using the valuation in accordance with Article 75 of Directive 2009/138/EC, following the instructions set out in section S.02.01 of Annex III to this Regulation;</w:t>
      </w:r>
    </w:p>
    <w:p w14:paraId="01F4EDCD" w14:textId="3E065D01" w:rsidR="001E76C1" w:rsidRPr="00BC3781" w:rsidRDefault="006E1EF5" w:rsidP="001E76C1">
      <w:pPr>
        <w:pStyle w:val="Point0"/>
        <w:rPr>
          <w:lang w:val="en-GB"/>
        </w:rPr>
      </w:pPr>
      <w:r>
        <w:rPr>
          <w:lang w:val="en-GB"/>
        </w:rPr>
        <w:tab/>
        <w:t>(b</w:t>
      </w:r>
      <w:r w:rsidR="001E76C1" w:rsidRPr="00BC3781">
        <w:rPr>
          <w:lang w:val="en-GB"/>
        </w:rPr>
        <w:t>)</w:t>
      </w:r>
      <w:r w:rsidR="001E76C1" w:rsidRPr="00BC3781">
        <w:rPr>
          <w:lang w:val="en-GB"/>
        </w:rPr>
        <w:tab/>
        <w:t>template S.05.01.02 of Annex I, specifying information on premiums, claims and expenses, using the valuation and recognition principles used in the consolidated financial statements, following the instructions set out in section S.05.01 of Annex III to this Regulation, for each line of business as defined in Annex I of Delegated Regulation (EU) 2015/35;</w:t>
      </w:r>
    </w:p>
    <w:p w14:paraId="2C53701F" w14:textId="6D983FA0" w:rsidR="001E76C1" w:rsidRPr="00BC3781" w:rsidRDefault="006E1EF5" w:rsidP="001E76C1">
      <w:pPr>
        <w:pStyle w:val="Point0"/>
        <w:rPr>
          <w:lang w:val="en-GB"/>
        </w:rPr>
      </w:pPr>
      <w:r>
        <w:rPr>
          <w:lang w:val="en-GB"/>
        </w:rPr>
        <w:tab/>
        <w:t>(c</w:t>
      </w:r>
      <w:r w:rsidR="001E76C1" w:rsidRPr="00BC3781">
        <w:rPr>
          <w:lang w:val="en-GB"/>
        </w:rPr>
        <w:t>)</w:t>
      </w:r>
      <w:r w:rsidR="001E76C1" w:rsidRPr="00BC3781">
        <w:rPr>
          <w:lang w:val="en-GB"/>
        </w:rPr>
        <w:tab/>
        <w:t>template S.05.02.01 of Annex I, specifying information on premiums, claims and expenses by country, using the valuation and recognition principles used in the consolidated financial statements, following the instructions set out in section S.05.02 of Annex III;</w:t>
      </w:r>
    </w:p>
    <w:p w14:paraId="180113E8" w14:textId="503CFB40" w:rsidR="001E76C1" w:rsidRPr="00BC3781" w:rsidRDefault="006E1EF5" w:rsidP="001E76C1">
      <w:pPr>
        <w:pStyle w:val="Point0"/>
        <w:rPr>
          <w:lang w:val="en-GB"/>
        </w:rPr>
      </w:pPr>
      <w:r>
        <w:rPr>
          <w:lang w:val="en-GB"/>
        </w:rPr>
        <w:tab/>
        <w:t>(d</w:t>
      </w:r>
      <w:r w:rsidR="001E76C1" w:rsidRPr="00BC3781">
        <w:rPr>
          <w:lang w:val="en-GB"/>
        </w:rPr>
        <w:t>)</w:t>
      </w:r>
      <w:r w:rsidR="001E76C1" w:rsidRPr="00BC3781">
        <w:rPr>
          <w:lang w:val="en-GB"/>
        </w:rPr>
        <w:tab/>
        <w:t>template S.22.01.22 of Annex I, specifying information on the impact of the long term guarantee and transitional measures, following the instructions set out in section S.22.01 of Annex III;</w:t>
      </w:r>
    </w:p>
    <w:p w14:paraId="7C657010" w14:textId="11EB1B7F" w:rsidR="001E76C1" w:rsidRPr="00BC3781" w:rsidRDefault="001E76C1" w:rsidP="001E76C1">
      <w:pPr>
        <w:pStyle w:val="Point0"/>
        <w:rPr>
          <w:lang w:val="en-GB"/>
        </w:rPr>
      </w:pPr>
      <w:r w:rsidRPr="00BC3781">
        <w:rPr>
          <w:lang w:val="en-GB"/>
        </w:rPr>
        <w:tab/>
        <w:t>(</w:t>
      </w:r>
      <w:r w:rsidR="006E1EF5">
        <w:rPr>
          <w:lang w:val="en-GB"/>
        </w:rPr>
        <w:t>e</w:t>
      </w:r>
      <w:r w:rsidRPr="00BC3781">
        <w:rPr>
          <w:lang w:val="en-GB"/>
        </w:rPr>
        <w:t>)</w:t>
      </w:r>
      <w:r w:rsidRPr="00BC3781">
        <w:rPr>
          <w:lang w:val="en-GB"/>
        </w:rPr>
        <w:tab/>
      </w:r>
      <w:proofErr w:type="gramStart"/>
      <w:r w:rsidRPr="00BC3781">
        <w:rPr>
          <w:lang w:val="en-GB"/>
        </w:rPr>
        <w:t>template</w:t>
      </w:r>
      <w:proofErr w:type="gramEnd"/>
      <w:r w:rsidRPr="00BC3781">
        <w:rPr>
          <w:lang w:val="en-GB"/>
        </w:rPr>
        <w:t xml:space="preserve"> S.23.01.22 of Annex I, specifying information on own funds, including basic own funds and ancillary own funds, following the instructions set out in section S.23.01 of Annex III;</w:t>
      </w:r>
    </w:p>
    <w:p w14:paraId="5A890C46" w14:textId="7BC6C8D3" w:rsidR="001E76C1" w:rsidRPr="00BC3781" w:rsidRDefault="006E1EF5" w:rsidP="001E76C1">
      <w:pPr>
        <w:pStyle w:val="Point0"/>
        <w:rPr>
          <w:lang w:val="en-GB"/>
        </w:rPr>
      </w:pPr>
      <w:r>
        <w:rPr>
          <w:lang w:val="en-GB"/>
        </w:rPr>
        <w:tab/>
        <w:t>(f</w:t>
      </w:r>
      <w:r w:rsidR="001E76C1" w:rsidRPr="00BC3781">
        <w:rPr>
          <w:lang w:val="en-GB"/>
        </w:rPr>
        <w:t>)</w:t>
      </w:r>
      <w:r w:rsidR="001E76C1" w:rsidRPr="00BC3781">
        <w:rPr>
          <w:lang w:val="en-GB"/>
        </w:rPr>
        <w:tab/>
        <w:t>where, for the calculation of group solvency, the group uses method 1 as defined in Article 230 of Directive 2009/138/EC, either exclusively or in combination with method 2 as defined in Article 233 of that Directive, template S.25.01.22 of Annex I to this Regulation, specifying information on the Solvency Capital Requirement, calculated using the standard formula, following the instructions set out in section S.25.01 of Annex III to this Regulation;</w:t>
      </w:r>
    </w:p>
    <w:p w14:paraId="56A8BA03" w14:textId="2FA346FB" w:rsidR="001E76C1" w:rsidRPr="000C2FC4" w:rsidRDefault="006E1EF5" w:rsidP="001E76C1">
      <w:pPr>
        <w:pStyle w:val="Point0"/>
        <w:rPr>
          <w:lang w:val="en-GB"/>
        </w:rPr>
      </w:pPr>
      <w:r>
        <w:rPr>
          <w:lang w:val="en-GB"/>
        </w:rPr>
        <w:tab/>
        <w:t>(g</w:t>
      </w:r>
      <w:r w:rsidR="001E76C1" w:rsidRPr="000C2FC4">
        <w:rPr>
          <w:lang w:val="en-GB"/>
        </w:rPr>
        <w:t>)</w:t>
      </w:r>
      <w:r w:rsidR="001E76C1" w:rsidRPr="000C2FC4">
        <w:rPr>
          <w:lang w:val="en-GB"/>
        </w:rPr>
        <w:tab/>
        <w:t>where, for the calculation of group solvency, the group uses method 1 as defined in Article 230 of Directive 2009/138/EC, either exclusively or in combination with method 2 as defined in Article 233 of that Directive, template S.25.</w:t>
      </w:r>
      <w:r w:rsidR="002D455F" w:rsidRPr="000C2FC4">
        <w:rPr>
          <w:lang w:val="en-GB"/>
        </w:rPr>
        <w:t>05</w:t>
      </w:r>
      <w:r w:rsidR="001E76C1" w:rsidRPr="000C2FC4">
        <w:rPr>
          <w:lang w:val="en-GB"/>
        </w:rPr>
        <w:t>.22 of Annex I to this Regulation, specifying information on the Solvency Capital Requirement, calculated using a partial internal model</w:t>
      </w:r>
      <w:r w:rsidR="00153584" w:rsidRPr="000C2FC4">
        <w:rPr>
          <w:lang w:val="en-GB"/>
        </w:rPr>
        <w:t xml:space="preserve"> or a full internal model</w:t>
      </w:r>
      <w:r w:rsidR="001E76C1" w:rsidRPr="000C2FC4">
        <w:rPr>
          <w:lang w:val="en-GB"/>
        </w:rPr>
        <w:t>, following the instructions set out in section S.25.</w:t>
      </w:r>
      <w:r w:rsidR="002D455F" w:rsidRPr="000C2FC4">
        <w:rPr>
          <w:lang w:val="en-GB"/>
        </w:rPr>
        <w:t xml:space="preserve">05 </w:t>
      </w:r>
      <w:r w:rsidR="001E76C1" w:rsidRPr="000C2FC4">
        <w:rPr>
          <w:lang w:val="en-GB"/>
        </w:rPr>
        <w:t>of Annex III to this Regulation;</w:t>
      </w:r>
    </w:p>
    <w:p w14:paraId="11020352" w14:textId="0565B5AE" w:rsidR="00E60AD7" w:rsidRPr="000C2FC4" w:rsidRDefault="001E76C1" w:rsidP="006E1EF5">
      <w:pPr>
        <w:pStyle w:val="Point0"/>
        <w:rPr>
          <w:lang w:val="en-GB"/>
        </w:rPr>
      </w:pPr>
      <w:r w:rsidRPr="000C2FC4">
        <w:rPr>
          <w:lang w:val="en-GB"/>
        </w:rPr>
        <w:tab/>
      </w:r>
      <w:r w:rsidR="006E1EF5">
        <w:rPr>
          <w:lang w:val="en-GB"/>
        </w:rPr>
        <w:t>(h</w:t>
      </w:r>
      <w:r w:rsidR="00E60AD7">
        <w:rPr>
          <w:lang w:val="en-GB"/>
        </w:rPr>
        <w:t xml:space="preserve">) </w:t>
      </w:r>
      <w:proofErr w:type="gramStart"/>
      <w:r w:rsidR="00E60AD7" w:rsidRPr="007243EC">
        <w:rPr>
          <w:lang w:val="en-GB"/>
        </w:rPr>
        <w:t>template</w:t>
      </w:r>
      <w:proofErr w:type="gramEnd"/>
      <w:r w:rsidR="00E60AD7" w:rsidRPr="007243EC">
        <w:rPr>
          <w:lang w:val="en-GB"/>
        </w:rPr>
        <w:t xml:space="preserve"> S.32.01.22 of Annex I, specifying information on the undertakings in the scope of the group, following the instructions set out in section S.32.01 of Annex III</w:t>
      </w:r>
      <w:r w:rsidR="00E60AD7">
        <w:rPr>
          <w:lang w:val="en-GB"/>
        </w:rPr>
        <w:t>.</w:t>
      </w:r>
    </w:p>
    <w:p w14:paraId="4ADF7935" w14:textId="77777777" w:rsidR="001E76C1" w:rsidRPr="000C2FC4" w:rsidRDefault="001E76C1" w:rsidP="001E76C1">
      <w:pPr>
        <w:pStyle w:val="Titrearticle"/>
        <w:rPr>
          <w:lang w:val="en-GB"/>
        </w:rPr>
      </w:pPr>
      <w:r w:rsidRPr="000C2FC4">
        <w:rPr>
          <w:lang w:val="en-GB"/>
        </w:rPr>
        <w:lastRenderedPageBreak/>
        <w:t>Article 6</w:t>
      </w:r>
    </w:p>
    <w:p w14:paraId="7A39D632" w14:textId="77777777" w:rsidR="001E76C1" w:rsidRPr="000C2FC4" w:rsidRDefault="001E76C1" w:rsidP="001E76C1">
      <w:pPr>
        <w:pStyle w:val="NormalCentered"/>
        <w:rPr>
          <w:b/>
          <w:bCs/>
          <w:lang w:val="en-GB"/>
        </w:rPr>
      </w:pPr>
      <w:r w:rsidRPr="000C2FC4">
        <w:rPr>
          <w:b/>
          <w:bCs/>
          <w:lang w:val="en-GB"/>
        </w:rPr>
        <w:t>References to other documents in the solvency and financial condition report</w:t>
      </w:r>
    </w:p>
    <w:p w14:paraId="17DB243E" w14:textId="41791356" w:rsidR="001E76C1" w:rsidRPr="000C2FC4" w:rsidRDefault="001E76C1" w:rsidP="001E76C1">
      <w:pPr>
        <w:rPr>
          <w:lang w:val="en-GB"/>
        </w:rPr>
      </w:pPr>
      <w:r w:rsidRPr="000C2FC4">
        <w:rPr>
          <w:lang w:val="en-GB"/>
        </w:rPr>
        <w:t>When insurance and reinsurance undertakings, participating insurance and reinsurance undertakings, insurance holding companies or mixed financial holding companies include in the solvency and financial condition report references to other publicly available documents, these references shall be done through references that lead directly to the information itself and not to a general document.</w:t>
      </w:r>
    </w:p>
    <w:p w14:paraId="4D0A1D8A" w14:textId="77777777" w:rsidR="001E76C1" w:rsidRPr="00E46447" w:rsidRDefault="001E76C1" w:rsidP="001E76C1">
      <w:pPr>
        <w:pStyle w:val="Titrearticle"/>
        <w:rPr>
          <w:lang w:val="en-GB"/>
        </w:rPr>
      </w:pPr>
      <w:r w:rsidRPr="00E46447">
        <w:rPr>
          <w:lang w:val="en-GB"/>
        </w:rPr>
        <w:t>Article 7</w:t>
      </w:r>
    </w:p>
    <w:p w14:paraId="181C07C2" w14:textId="77777777" w:rsidR="001E76C1" w:rsidRPr="00E46447" w:rsidRDefault="001E76C1" w:rsidP="001E76C1">
      <w:pPr>
        <w:pStyle w:val="NormalCentered"/>
        <w:rPr>
          <w:b/>
          <w:bCs/>
          <w:lang w:val="en-GB"/>
        </w:rPr>
      </w:pPr>
      <w:r w:rsidRPr="00E46447">
        <w:rPr>
          <w:b/>
          <w:bCs/>
          <w:lang w:val="en-GB"/>
        </w:rPr>
        <w:t>Consistency of information</w:t>
      </w:r>
    </w:p>
    <w:p w14:paraId="0662620A" w14:textId="28847E71" w:rsidR="001E76C1" w:rsidRPr="00E46447" w:rsidRDefault="001E76C1" w:rsidP="00E46447">
      <w:pPr>
        <w:rPr>
          <w:lang w:val="en-GB"/>
        </w:rPr>
      </w:pPr>
      <w:r w:rsidRPr="00E46447">
        <w:rPr>
          <w:lang w:val="en-GB"/>
        </w:rPr>
        <w:t xml:space="preserve">Insurance and reinsurance undertakings, participating insurance and reinsurance undertakings, insurance holding companies or mixed financial holding companies </w:t>
      </w:r>
      <w:r w:rsidR="00E46447">
        <w:rPr>
          <w:lang w:val="en-GB"/>
        </w:rPr>
        <w:t>shall be</w:t>
      </w:r>
      <w:r w:rsidR="000F2013" w:rsidRPr="00E46447">
        <w:rPr>
          <w:lang w:val="en-GB"/>
        </w:rPr>
        <w:t xml:space="preserve"> responsible for the quality of the information disclosed and </w:t>
      </w:r>
      <w:r w:rsidRPr="00E46447">
        <w:rPr>
          <w:lang w:val="en-GB"/>
        </w:rPr>
        <w:t>shall assess whether the information disclosed is fully consistent with the information reported to the supervisory authorities.</w:t>
      </w:r>
    </w:p>
    <w:p w14:paraId="0757D4D4" w14:textId="77777777" w:rsidR="001E76C1" w:rsidRPr="00E46447" w:rsidRDefault="001E76C1" w:rsidP="001E76C1">
      <w:pPr>
        <w:pStyle w:val="Titrearticle"/>
        <w:rPr>
          <w:lang w:val="en-GB"/>
        </w:rPr>
      </w:pPr>
      <w:r w:rsidRPr="00E46447">
        <w:rPr>
          <w:lang w:val="en-GB"/>
        </w:rPr>
        <w:t>Article 8</w:t>
      </w:r>
    </w:p>
    <w:p w14:paraId="4F8C8F86" w14:textId="77777777" w:rsidR="001E76C1" w:rsidRPr="00E46447" w:rsidRDefault="001E76C1" w:rsidP="001E76C1">
      <w:pPr>
        <w:pStyle w:val="NormalCentered"/>
        <w:rPr>
          <w:b/>
          <w:bCs/>
          <w:lang w:val="en-GB"/>
        </w:rPr>
      </w:pPr>
      <w:r w:rsidRPr="00E46447">
        <w:rPr>
          <w:b/>
          <w:bCs/>
          <w:lang w:val="en-GB"/>
        </w:rPr>
        <w:t>Means of disclosure of the group and single solvency and financial condition report</w:t>
      </w:r>
    </w:p>
    <w:p w14:paraId="5E6ADE98" w14:textId="63604523" w:rsidR="001E76C1" w:rsidRPr="00E46447" w:rsidRDefault="001E76C1" w:rsidP="001E76C1">
      <w:pPr>
        <w:rPr>
          <w:lang w:val="en-GB"/>
        </w:rPr>
      </w:pPr>
      <w:r w:rsidRPr="00E46447">
        <w:rPr>
          <w:lang w:val="en-GB"/>
        </w:rPr>
        <w:t>Article 301 of Delegated Regulation (EU) 2015/35 shall apply to the disclosure of the group and single solvency and financial condition report.</w:t>
      </w:r>
    </w:p>
    <w:p w14:paraId="44EA6208" w14:textId="77777777" w:rsidR="001E76C1" w:rsidRPr="00E46447" w:rsidRDefault="001E76C1" w:rsidP="001E76C1">
      <w:pPr>
        <w:pStyle w:val="Titrearticle"/>
        <w:rPr>
          <w:lang w:val="en-GB"/>
        </w:rPr>
      </w:pPr>
      <w:r w:rsidRPr="00E46447">
        <w:rPr>
          <w:lang w:val="en-GB"/>
        </w:rPr>
        <w:t>Article 9</w:t>
      </w:r>
    </w:p>
    <w:p w14:paraId="6EBFAD90" w14:textId="77777777" w:rsidR="001E76C1" w:rsidRPr="00E46447" w:rsidRDefault="001E76C1" w:rsidP="001E76C1">
      <w:pPr>
        <w:pStyle w:val="NormalCentered"/>
        <w:rPr>
          <w:b/>
          <w:bCs/>
          <w:lang w:val="en-GB"/>
        </w:rPr>
      </w:pPr>
      <w:r w:rsidRPr="00E46447">
        <w:rPr>
          <w:b/>
          <w:bCs/>
          <w:lang w:val="en-GB"/>
        </w:rPr>
        <w:t>Involvement of the subsidiaries in the single solvency and financial condition report</w:t>
      </w:r>
    </w:p>
    <w:p w14:paraId="4A72534A" w14:textId="77777777" w:rsidR="001E76C1" w:rsidRPr="00E46447" w:rsidRDefault="001E76C1" w:rsidP="001E76C1">
      <w:pPr>
        <w:rPr>
          <w:lang w:val="en-GB"/>
        </w:rPr>
      </w:pPr>
      <w:r w:rsidRPr="00E46447">
        <w:rPr>
          <w:lang w:val="en-GB"/>
        </w:rPr>
        <w:t>1.</w:t>
      </w:r>
      <w:r w:rsidRPr="00E46447">
        <w:rPr>
          <w:lang w:val="en-GB"/>
        </w:rPr>
        <w:tab/>
        <w:t>When a participating insurance or reinsurance undertaking, insurance holding company or mixed financial holding company requests an agreement from the group supervisor to provide a single solvency and financial condition report, the group supervisor shall promptly contact all supervisory authorities concerned to discuss in particular the language of the text of the single solvency and financial condition report.</w:t>
      </w:r>
    </w:p>
    <w:p w14:paraId="1EF21FF7" w14:textId="77777777" w:rsidR="001E76C1" w:rsidRPr="00E46447" w:rsidRDefault="001E76C1" w:rsidP="001E76C1">
      <w:pPr>
        <w:rPr>
          <w:lang w:val="en-GB"/>
        </w:rPr>
      </w:pPr>
      <w:r w:rsidRPr="00E46447">
        <w:rPr>
          <w:lang w:val="en-GB"/>
        </w:rPr>
        <w:t>2.</w:t>
      </w:r>
      <w:r w:rsidRPr="00E46447">
        <w:rPr>
          <w:lang w:val="en-GB"/>
        </w:rPr>
        <w:tab/>
        <w:t>The participating insurance and reinsurance undertaking, insurance holding company or mixed financial holding company shall provide an explanation on how the subsidiaries shall be covered and how the subsidiaries' administrative, management or supervisory body shall be involved in the process and in the approval of the single solvency and financial condition report.</w:t>
      </w:r>
    </w:p>
    <w:p w14:paraId="778D7755" w14:textId="57833966" w:rsidR="00A66862" w:rsidRDefault="00A66862" w:rsidP="00E46447">
      <w:pPr>
        <w:pStyle w:val="Titrearticle"/>
        <w:rPr>
          <w:b/>
          <w:bCs/>
          <w:lang w:val="en-GB"/>
        </w:rPr>
      </w:pPr>
      <w:r>
        <w:rPr>
          <w:b/>
          <w:bCs/>
          <w:lang w:val="en-GB"/>
        </w:rPr>
        <w:t>Article 10</w:t>
      </w:r>
    </w:p>
    <w:p w14:paraId="6DAEDAF7" w14:textId="77777777" w:rsidR="00BC3781" w:rsidRDefault="00E46447" w:rsidP="00E46447">
      <w:pPr>
        <w:pStyle w:val="Titrearticle"/>
        <w:rPr>
          <w:b/>
          <w:bCs/>
          <w:lang w:val="en-GB"/>
        </w:rPr>
      </w:pPr>
      <w:r w:rsidRPr="00E46447">
        <w:rPr>
          <w:b/>
          <w:bCs/>
          <w:lang w:val="en-GB"/>
        </w:rPr>
        <w:t>Repeal</w:t>
      </w:r>
    </w:p>
    <w:p w14:paraId="08AA4A4F" w14:textId="123A3AD1" w:rsidR="00E46447" w:rsidRPr="00A04DF3" w:rsidRDefault="00E46447" w:rsidP="00A04DF3">
      <w:pPr>
        <w:pStyle w:val="Titrearticle"/>
        <w:jc w:val="both"/>
        <w:rPr>
          <w:i w:val="0"/>
          <w:lang w:val="en-GB"/>
        </w:rPr>
      </w:pPr>
      <w:r w:rsidRPr="00A04DF3">
        <w:rPr>
          <w:i w:val="0"/>
          <w:lang w:val="en-GB"/>
        </w:rPr>
        <w:t>Implementing Regulation (EU) 2015/2452 is repealed.</w:t>
      </w:r>
    </w:p>
    <w:p w14:paraId="0EE1C031" w14:textId="77777777" w:rsidR="00E46447" w:rsidRDefault="00E46447" w:rsidP="001E76C1">
      <w:pPr>
        <w:pStyle w:val="Titrearticle"/>
        <w:rPr>
          <w:lang w:val="en-GB"/>
        </w:rPr>
      </w:pPr>
    </w:p>
    <w:p w14:paraId="49C117A7" w14:textId="5EEF129B" w:rsidR="001E76C1" w:rsidRPr="00E46447" w:rsidRDefault="001E76C1" w:rsidP="001E76C1">
      <w:pPr>
        <w:pStyle w:val="Titrearticle"/>
        <w:rPr>
          <w:lang w:val="en-GB"/>
        </w:rPr>
      </w:pPr>
      <w:r w:rsidRPr="00E46447">
        <w:rPr>
          <w:lang w:val="en-GB"/>
        </w:rPr>
        <w:t xml:space="preserve">Article </w:t>
      </w:r>
      <w:r w:rsidR="00A66862" w:rsidRPr="00E46447">
        <w:rPr>
          <w:lang w:val="en-GB"/>
        </w:rPr>
        <w:t>1</w:t>
      </w:r>
      <w:r w:rsidR="00A66862">
        <w:rPr>
          <w:lang w:val="en-GB"/>
        </w:rPr>
        <w:t>1</w:t>
      </w:r>
    </w:p>
    <w:p w14:paraId="0FB5421B" w14:textId="77777777" w:rsidR="001E76C1" w:rsidRPr="00E46447" w:rsidRDefault="001E76C1" w:rsidP="001E76C1">
      <w:pPr>
        <w:pStyle w:val="NormalCentered"/>
        <w:rPr>
          <w:b/>
          <w:bCs/>
          <w:lang w:val="en-GB"/>
        </w:rPr>
      </w:pPr>
      <w:r w:rsidRPr="00E46447">
        <w:rPr>
          <w:b/>
          <w:bCs/>
          <w:lang w:val="en-GB"/>
        </w:rPr>
        <w:t>Entry into force</w:t>
      </w:r>
    </w:p>
    <w:p w14:paraId="37B5B085" w14:textId="77777777" w:rsidR="001E76C1" w:rsidRPr="00E46447" w:rsidRDefault="001E76C1" w:rsidP="001E76C1">
      <w:pPr>
        <w:rPr>
          <w:lang w:val="en-GB"/>
        </w:rPr>
      </w:pPr>
      <w:r w:rsidRPr="00E46447">
        <w:rPr>
          <w:lang w:val="en-GB"/>
        </w:rPr>
        <w:lastRenderedPageBreak/>
        <w:t xml:space="preserve">This Regulation shall enter into force on the twentieth day following that of its publication in the </w:t>
      </w:r>
      <w:r w:rsidRPr="00E46447">
        <w:rPr>
          <w:i/>
          <w:iCs/>
          <w:lang w:val="en-GB"/>
        </w:rPr>
        <w:t>Official Journal of the European Union</w:t>
      </w:r>
      <w:r w:rsidRPr="00E46447">
        <w:rPr>
          <w:lang w:val="en-GB"/>
        </w:rPr>
        <w:t>.</w:t>
      </w:r>
    </w:p>
    <w:p w14:paraId="3EBBE26D" w14:textId="4B137EBE" w:rsidR="001F0B14" w:rsidRPr="00E46447" w:rsidRDefault="00D944E0" w:rsidP="001F0B14">
      <w:pPr>
        <w:shd w:val="clear" w:color="auto" w:fill="FFFFFF"/>
        <w:spacing w:after="0"/>
        <w:rPr>
          <w:rFonts w:eastAsia="Times New Roman"/>
          <w:color w:val="000000"/>
          <w:lang w:val="en-GB"/>
        </w:rPr>
      </w:pPr>
      <w:r>
        <w:rPr>
          <w:rFonts w:eastAsia="Times New Roman"/>
          <w:color w:val="000000"/>
          <w:lang w:val="en-GB"/>
        </w:rPr>
        <w:t>It</w:t>
      </w:r>
      <w:r w:rsidR="001F0B14" w:rsidRPr="00E46447">
        <w:rPr>
          <w:rFonts w:eastAsia="Times New Roman"/>
          <w:color w:val="000000"/>
          <w:lang w:val="en-GB"/>
        </w:rPr>
        <w:t xml:space="preserve"> shall apply from 31 December 202</w:t>
      </w:r>
      <w:r w:rsidR="00E60AD7">
        <w:rPr>
          <w:rFonts w:eastAsia="Times New Roman"/>
          <w:color w:val="000000"/>
          <w:lang w:val="en-GB"/>
        </w:rPr>
        <w:t>3</w:t>
      </w:r>
      <w:r w:rsidR="001F0B14" w:rsidRPr="00E46447">
        <w:rPr>
          <w:rFonts w:eastAsia="Times New Roman"/>
          <w:color w:val="000000"/>
          <w:lang w:val="en-GB"/>
        </w:rPr>
        <w:t>.</w:t>
      </w:r>
    </w:p>
    <w:p w14:paraId="5041A652" w14:textId="13EBD62E" w:rsidR="001E76C1" w:rsidRPr="00E46447" w:rsidRDefault="001E76C1" w:rsidP="001E76C1">
      <w:pPr>
        <w:pStyle w:val="Applicationdirecte"/>
        <w:rPr>
          <w:lang w:val="en-GB"/>
        </w:rPr>
      </w:pPr>
      <w:r w:rsidRPr="00E46447">
        <w:rPr>
          <w:lang w:val="en-GB"/>
        </w:rPr>
        <w:t>This Regulation shall be binding in its entirety and directly applicable in all Member States.</w:t>
      </w:r>
    </w:p>
    <w:p w14:paraId="456D4402" w14:textId="77777777" w:rsidR="001F0B14" w:rsidRPr="00E46447" w:rsidRDefault="001F0B14" w:rsidP="001F0B14">
      <w:pPr>
        <w:shd w:val="clear" w:color="auto" w:fill="FFFFFF"/>
        <w:spacing w:after="0"/>
        <w:rPr>
          <w:rFonts w:ascii="inherit" w:eastAsia="Times New Roman" w:hAnsi="inherit"/>
          <w:color w:val="000000"/>
          <w:lang w:val="en-GB"/>
        </w:rPr>
      </w:pPr>
      <w:r w:rsidRPr="00E46447">
        <w:rPr>
          <w:rFonts w:ascii="inherit" w:eastAsia="Times New Roman" w:hAnsi="inherit"/>
          <w:color w:val="000000"/>
          <w:lang w:val="en-GB"/>
        </w:rPr>
        <w:t xml:space="preserve">Done at Brussels, </w:t>
      </w:r>
      <w:proofErr w:type="spellStart"/>
      <w:r w:rsidRPr="00E46447">
        <w:rPr>
          <w:rFonts w:ascii="inherit" w:eastAsia="Times New Roman" w:hAnsi="inherit"/>
          <w:color w:val="000000"/>
          <w:lang w:val="en-GB"/>
        </w:rPr>
        <w:t>xxxxx</w:t>
      </w:r>
      <w:proofErr w:type="spellEnd"/>
      <w:r w:rsidRPr="00E46447">
        <w:rPr>
          <w:rFonts w:ascii="inherit" w:eastAsia="Times New Roman" w:hAnsi="inherit"/>
          <w:color w:val="000000"/>
          <w:lang w:val="en-GB"/>
        </w:rPr>
        <w:t>.</w:t>
      </w:r>
    </w:p>
    <w:p w14:paraId="0BD6D22D" w14:textId="77777777" w:rsidR="001F0B14" w:rsidRPr="00E46447" w:rsidRDefault="001F0B14" w:rsidP="001F0B14">
      <w:pPr>
        <w:shd w:val="clear" w:color="auto" w:fill="FFFFFF"/>
        <w:spacing w:before="60" w:after="60"/>
        <w:jc w:val="center"/>
        <w:rPr>
          <w:rFonts w:ascii="inherit" w:eastAsia="Times New Roman" w:hAnsi="inherit"/>
          <w:color w:val="000000"/>
          <w:lang w:val="en-GB"/>
        </w:rPr>
      </w:pPr>
      <w:r w:rsidRPr="00E46447">
        <w:rPr>
          <w:rFonts w:ascii="inherit" w:eastAsia="Times New Roman" w:hAnsi="inherit"/>
          <w:i/>
          <w:iCs/>
          <w:color w:val="000000"/>
          <w:lang w:val="en-GB"/>
        </w:rPr>
        <w:t>For the Commission</w:t>
      </w:r>
    </w:p>
    <w:p w14:paraId="4B49CCD5" w14:textId="77777777" w:rsidR="001F0B14" w:rsidRPr="000A3A8F" w:rsidRDefault="001F0B14" w:rsidP="001F0B14">
      <w:pPr>
        <w:shd w:val="clear" w:color="auto" w:fill="FFFFFF"/>
        <w:spacing w:before="60" w:after="60"/>
        <w:jc w:val="center"/>
        <w:rPr>
          <w:rFonts w:ascii="inherit" w:eastAsia="Times New Roman" w:hAnsi="inherit"/>
          <w:color w:val="000000"/>
        </w:rPr>
      </w:pPr>
      <w:r w:rsidRPr="000A3A8F">
        <w:rPr>
          <w:rFonts w:ascii="inherit" w:eastAsia="Times New Roman" w:hAnsi="inherit"/>
          <w:i/>
          <w:iCs/>
          <w:color w:val="000000"/>
        </w:rPr>
        <w:t xml:space="preserve">The </w:t>
      </w:r>
      <w:proofErr w:type="spellStart"/>
      <w:r w:rsidRPr="000A3A8F">
        <w:rPr>
          <w:rFonts w:ascii="inherit" w:eastAsia="Times New Roman" w:hAnsi="inherit"/>
          <w:i/>
          <w:iCs/>
          <w:color w:val="000000"/>
        </w:rPr>
        <w:t>President</w:t>
      </w:r>
      <w:proofErr w:type="spellEnd"/>
    </w:p>
    <w:p w14:paraId="6943E1F7" w14:textId="77777777" w:rsidR="001F0B14" w:rsidRDefault="001F0B14" w:rsidP="001F0B14"/>
    <w:p w14:paraId="019686FD" w14:textId="77777777" w:rsidR="006F40C5" w:rsidRDefault="006F40C5"/>
    <w:sectPr w:rsidR="006F40C5">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B9CE1" w14:textId="77777777" w:rsidR="00D11113" w:rsidRDefault="00D11113" w:rsidP="00644844">
      <w:pPr>
        <w:spacing w:before="0" w:after="0"/>
      </w:pPr>
      <w:r>
        <w:separator/>
      </w:r>
    </w:p>
  </w:endnote>
  <w:endnote w:type="continuationSeparator" w:id="0">
    <w:p w14:paraId="5E61A2CD" w14:textId="77777777" w:rsidR="00D11113" w:rsidRDefault="00D11113" w:rsidP="006448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803A8" w14:textId="77777777" w:rsidR="006A66FC" w:rsidRDefault="006A6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FA7B1" w14:textId="77777777" w:rsidR="006A66FC" w:rsidRDefault="006A6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499F0" w14:textId="77777777" w:rsidR="006A66FC" w:rsidRDefault="006A6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D9A49" w14:textId="77777777" w:rsidR="00D11113" w:rsidRDefault="00D11113" w:rsidP="00644844">
      <w:pPr>
        <w:spacing w:before="0" w:after="0"/>
      </w:pPr>
      <w:r>
        <w:separator/>
      </w:r>
    </w:p>
  </w:footnote>
  <w:footnote w:type="continuationSeparator" w:id="0">
    <w:p w14:paraId="2E91F077" w14:textId="77777777" w:rsidR="00D11113" w:rsidRDefault="00D11113" w:rsidP="00644844">
      <w:pPr>
        <w:spacing w:before="0" w:after="0"/>
      </w:pPr>
      <w:r>
        <w:continuationSeparator/>
      </w:r>
    </w:p>
  </w:footnote>
  <w:footnote w:id="1">
    <w:p w14:paraId="37F5F8F9" w14:textId="77777777" w:rsidR="00644844" w:rsidRDefault="00644844" w:rsidP="00644844">
      <w:pPr>
        <w:pStyle w:val="FootnoteText"/>
        <w:rPr>
          <w:sz w:val="18"/>
          <w:szCs w:val="18"/>
        </w:rPr>
      </w:pPr>
      <w:r>
        <w:rPr>
          <w:rStyle w:val="FootnoteReference"/>
        </w:rPr>
        <w:footnoteRef/>
      </w:r>
      <w:r>
        <w:t xml:space="preserve"> </w:t>
      </w:r>
      <w:r>
        <w:rPr>
          <w:sz w:val="18"/>
          <w:szCs w:val="18"/>
        </w:rPr>
        <w:t>OJ L 335, 17.12.2009, p. 1.</w:t>
      </w:r>
    </w:p>
  </w:footnote>
  <w:footnote w:id="2">
    <w:p w14:paraId="2DED98C8" w14:textId="77777777" w:rsidR="00644844" w:rsidRDefault="00644844" w:rsidP="00644844">
      <w:pPr>
        <w:pStyle w:val="FootnoteText"/>
      </w:pPr>
      <w:r>
        <w:rPr>
          <w:rStyle w:val="FootnoteReference"/>
        </w:rPr>
        <w:footnoteRef/>
      </w:r>
      <w:r>
        <w:t xml:space="preserve"> Regulation (EU) No 1094/2010 of the European Parliament and of the Council of 24 November 2010 establishing a European Supervisory Authority (European Insurance and Occupational Pensions Authority), amending Decision No 716/2009/EC and repealing Commission Decision 2009/79/EC (OJ L 331, 15.12.2010, p. 48).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BBA23" w14:textId="77777777" w:rsidR="006A66FC" w:rsidRDefault="006A6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004C1" w14:textId="77777777" w:rsidR="006A66FC" w:rsidRDefault="006A66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003E5" w14:textId="77777777" w:rsidR="006A66FC" w:rsidRDefault="006A6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80EB8"/>
    <w:multiLevelType w:val="singleLevel"/>
    <w:tmpl w:val="42EA90DA"/>
    <w:lvl w:ilvl="0">
      <w:start w:val="1"/>
      <w:numFmt w:val="decimal"/>
      <w:pStyle w:val="ConsultationItalic"/>
      <w:lvlText w:val="(%1)"/>
      <w:lvlJc w:val="left"/>
      <w:pPr>
        <w:tabs>
          <w:tab w:val="num" w:pos="709"/>
        </w:tabs>
        <w:ind w:left="709" w:hanging="709"/>
      </w:pPr>
    </w:lvl>
  </w:abstractNum>
  <w:abstractNum w:abstractNumId="1" w15:restartNumberingAfterBreak="0">
    <w:nsid w:val="47C81895"/>
    <w:multiLevelType w:val="hybridMultilevel"/>
    <w:tmpl w:val="0208256E"/>
    <w:lvl w:ilvl="0" w:tplc="463263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995580"/>
    <w:multiLevelType w:val="singleLevel"/>
    <w:tmpl w:val="04C8E0E4"/>
    <w:name w:val="Bullet 0"/>
    <w:lvl w:ilvl="0">
      <w:start w:val="52"/>
      <w:numFmt w:val="decimal"/>
      <w:pStyle w:val="Considrant"/>
      <w:lvlText w:val="(%1)"/>
      <w:lvlJc w:val="left"/>
      <w:pPr>
        <w:tabs>
          <w:tab w:val="num" w:pos="709"/>
        </w:tabs>
        <w:ind w:left="709" w:hanging="709"/>
      </w:pPr>
    </w:lvl>
  </w:abstractNum>
  <w:abstractNum w:abstractNumId="3" w15:restartNumberingAfterBreak="0">
    <w:nsid w:val="716F0927"/>
    <w:multiLevelType w:val="hybridMultilevel"/>
    <w:tmpl w:val="BED6AE00"/>
    <w:lvl w:ilvl="0" w:tplc="04090017">
      <w:start w:val="1"/>
      <w:numFmt w:val="lowerLetter"/>
      <w:pStyle w:val="NumPar1"/>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0E5777"/>
    <w:multiLevelType w:val="hybridMultilevel"/>
    <w:tmpl w:val="AE6033F2"/>
    <w:lvl w:ilvl="0" w:tplc="30BCE2B4">
      <w:start w:val="1"/>
      <w:numFmt w:val="lowerLetter"/>
      <w:lvlText w:val="(%1)"/>
      <w:lvlJc w:val="left"/>
      <w:pPr>
        <w:ind w:left="1440" w:hanging="59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5" w15:restartNumberingAfterBreak="0">
    <w:nsid w:val="7CBE4812"/>
    <w:multiLevelType w:val="singleLevel"/>
    <w:tmpl w:val="0F7EDB52"/>
    <w:lvl w:ilvl="0">
      <w:start w:val="1"/>
      <w:numFmt w:val="decimal"/>
      <w:lvlText w:val="(%1)"/>
      <w:lvlJc w:val="left"/>
      <w:pPr>
        <w:tabs>
          <w:tab w:val="num" w:pos="709"/>
        </w:tabs>
        <w:ind w:left="709" w:hanging="709"/>
      </w:pPr>
      <w:rPr>
        <w:rFonts w:ascii="Times New Roman" w:eastAsia="Times New Roman" w:hAnsi="Times New Roman" w:cs="Times New Roman"/>
        <w:sz w:val="24"/>
        <w:szCs w:val="24"/>
      </w:rPr>
    </w:lvl>
  </w:abstractNum>
  <w:num w:numId="1">
    <w:abstractNumId w:val="2"/>
    <w:lvlOverride w:ilvl="0">
      <w:startOverride w:val="52"/>
    </w:lvlOverride>
  </w:num>
  <w:num w:numId="2">
    <w:abstractNumId w:val="0"/>
    <w:lvlOverride w:ilvl="0">
      <w:startOverride w:val="1"/>
    </w:lvlOverride>
  </w:num>
  <w:num w:numId="3">
    <w:abstractNumId w:val="5"/>
  </w:num>
  <w:num w:numId="4">
    <w:abstractNumId w:val="3"/>
  </w:num>
  <w:num w:numId="5">
    <w:abstractNumId w:val="0"/>
  </w:num>
  <w:num w:numId="6">
    <w:abstractNumId w:val="4"/>
  </w:num>
  <w:num w:numId="7">
    <w:abstractNumId w:val="1"/>
  </w:num>
  <w:num w:numId="8">
    <w:abstractNumId w:val="2"/>
    <w:lvlOverride w:ilvl="0">
      <w:startOverride w:val="5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6C1"/>
    <w:rsid w:val="00037984"/>
    <w:rsid w:val="0008077A"/>
    <w:rsid w:val="000C2FC4"/>
    <w:rsid w:val="000D4DB3"/>
    <w:rsid w:val="000F2013"/>
    <w:rsid w:val="00105B19"/>
    <w:rsid w:val="00130E7B"/>
    <w:rsid w:val="00153584"/>
    <w:rsid w:val="001541C7"/>
    <w:rsid w:val="001A5FDC"/>
    <w:rsid w:val="001E76C1"/>
    <w:rsid w:val="001F0B14"/>
    <w:rsid w:val="002B7E6C"/>
    <w:rsid w:val="002D455F"/>
    <w:rsid w:val="00300A31"/>
    <w:rsid w:val="00466B73"/>
    <w:rsid w:val="0048214F"/>
    <w:rsid w:val="005A50C0"/>
    <w:rsid w:val="00623A67"/>
    <w:rsid w:val="00644844"/>
    <w:rsid w:val="006A66FC"/>
    <w:rsid w:val="006E1EF5"/>
    <w:rsid w:val="006F40C5"/>
    <w:rsid w:val="00794442"/>
    <w:rsid w:val="007C4383"/>
    <w:rsid w:val="007C62D3"/>
    <w:rsid w:val="007D7D0F"/>
    <w:rsid w:val="00811DBE"/>
    <w:rsid w:val="008226E0"/>
    <w:rsid w:val="0087310F"/>
    <w:rsid w:val="0088674A"/>
    <w:rsid w:val="008D4643"/>
    <w:rsid w:val="009A7714"/>
    <w:rsid w:val="00A04DF3"/>
    <w:rsid w:val="00A213F4"/>
    <w:rsid w:val="00A27EAC"/>
    <w:rsid w:val="00A435ED"/>
    <w:rsid w:val="00A54D8A"/>
    <w:rsid w:val="00A66862"/>
    <w:rsid w:val="00A825E1"/>
    <w:rsid w:val="00B37579"/>
    <w:rsid w:val="00B40A22"/>
    <w:rsid w:val="00B91B2D"/>
    <w:rsid w:val="00BC3781"/>
    <w:rsid w:val="00C01855"/>
    <w:rsid w:val="00C27946"/>
    <w:rsid w:val="00C65BD5"/>
    <w:rsid w:val="00C913EA"/>
    <w:rsid w:val="00CA1EA5"/>
    <w:rsid w:val="00CB007F"/>
    <w:rsid w:val="00CC6768"/>
    <w:rsid w:val="00D11113"/>
    <w:rsid w:val="00D45572"/>
    <w:rsid w:val="00D944E0"/>
    <w:rsid w:val="00DF5B78"/>
    <w:rsid w:val="00E42634"/>
    <w:rsid w:val="00E46447"/>
    <w:rsid w:val="00E60AD7"/>
    <w:rsid w:val="00EE3A8A"/>
    <w:rsid w:val="00F03790"/>
    <w:rsid w:val="00F71028"/>
    <w:rsid w:val="00F8306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2B9F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6C1"/>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directe">
    <w:name w:val="Application directe"/>
    <w:basedOn w:val="Normal"/>
    <w:next w:val="Normal"/>
    <w:uiPriority w:val="99"/>
    <w:rsid w:val="001E76C1"/>
    <w:pPr>
      <w:spacing w:before="480"/>
    </w:pPr>
  </w:style>
  <w:style w:type="paragraph" w:customStyle="1" w:styleId="Typedudocument">
    <w:name w:val="Type du document"/>
    <w:basedOn w:val="Normal"/>
    <w:next w:val="Datedadoption"/>
    <w:uiPriority w:val="99"/>
    <w:rsid w:val="001E76C1"/>
    <w:pPr>
      <w:spacing w:before="360" w:after="0"/>
      <w:jc w:val="center"/>
    </w:pPr>
    <w:rPr>
      <w:b/>
      <w:bCs/>
    </w:rPr>
  </w:style>
  <w:style w:type="paragraph" w:customStyle="1" w:styleId="Datedadoption">
    <w:name w:val="Date d'adoption"/>
    <w:basedOn w:val="Normal"/>
    <w:next w:val="Titreobjet"/>
    <w:uiPriority w:val="99"/>
    <w:rsid w:val="001E76C1"/>
    <w:pPr>
      <w:spacing w:before="360" w:after="0"/>
      <w:jc w:val="center"/>
    </w:pPr>
    <w:rPr>
      <w:b/>
      <w:bCs/>
    </w:rPr>
  </w:style>
  <w:style w:type="paragraph" w:customStyle="1" w:styleId="Titreobjet">
    <w:name w:val="Titre objet"/>
    <w:basedOn w:val="Normal"/>
    <w:next w:val="Sous-titreobjet"/>
    <w:uiPriority w:val="99"/>
    <w:rsid w:val="001E76C1"/>
    <w:pPr>
      <w:spacing w:before="360" w:after="360"/>
      <w:jc w:val="center"/>
    </w:pPr>
    <w:rPr>
      <w:b/>
      <w:bCs/>
    </w:rPr>
  </w:style>
  <w:style w:type="paragraph" w:customStyle="1" w:styleId="Sous-titreobjet">
    <w:name w:val="Sous-titre objet"/>
    <w:basedOn w:val="Titreobjet"/>
    <w:uiPriority w:val="99"/>
    <w:rsid w:val="001E76C1"/>
    <w:pPr>
      <w:spacing w:before="0" w:after="0"/>
    </w:pPr>
  </w:style>
  <w:style w:type="paragraph" w:customStyle="1" w:styleId="Titrearticle">
    <w:name w:val="Titre article"/>
    <w:basedOn w:val="Normal"/>
    <w:next w:val="Normal"/>
    <w:uiPriority w:val="99"/>
    <w:rsid w:val="001E76C1"/>
    <w:pPr>
      <w:keepNext/>
      <w:spacing w:before="360"/>
      <w:jc w:val="center"/>
    </w:pPr>
    <w:rPr>
      <w:i/>
      <w:iCs/>
    </w:rPr>
  </w:style>
  <w:style w:type="paragraph" w:customStyle="1" w:styleId="NormalCentered">
    <w:name w:val="Normal Centered"/>
    <w:basedOn w:val="Normal"/>
    <w:uiPriority w:val="99"/>
    <w:rsid w:val="001E76C1"/>
    <w:pPr>
      <w:jc w:val="center"/>
    </w:pPr>
  </w:style>
  <w:style w:type="paragraph" w:customStyle="1" w:styleId="Point0">
    <w:name w:val="Point 0"/>
    <w:basedOn w:val="Normal"/>
    <w:uiPriority w:val="99"/>
    <w:rsid w:val="001E76C1"/>
    <w:pPr>
      <w:ind w:left="851" w:hanging="851"/>
    </w:pPr>
  </w:style>
  <w:style w:type="character" w:customStyle="1" w:styleId="FootnoteTextChar">
    <w:name w:val="Footnote Text Char"/>
    <w:aliases w:val="Footnote Text Char Char Char,Fußnotentext Char Char Char Char,Fußnotentext Char1 Char Char Char Char,Fußnotentext Char Char Char Char Char Char,Fußnotentext Char1 Char Char Char Char Char Char,Verdana 8p Regular Foot Char,Fußno Char"/>
    <w:basedOn w:val="DefaultParagraphFont"/>
    <w:link w:val="FootnoteText"/>
    <w:uiPriority w:val="99"/>
    <w:locked/>
    <w:rsid w:val="00644844"/>
    <w:rPr>
      <w:rFonts w:ascii="Times New Roman" w:eastAsia="Times New Roman" w:hAnsi="Times New Roman" w:cs="Times New Roman"/>
      <w:sz w:val="20"/>
      <w:szCs w:val="20"/>
      <w:lang w:eastAsia="en-GB"/>
    </w:rPr>
  </w:style>
  <w:style w:type="paragraph" w:styleId="FootnoteText">
    <w:name w:val="footnote text"/>
    <w:aliases w:val="Footnote Text Char Char,Fußnotentext Char Char Char,Fußnotentext Char1 Char Char Char,Fußnotentext Char Char Char Char Char,Fußnotentext Char1 Char Char Char Char Char,Verdana 8p Regular Foot,Fußno"/>
    <w:basedOn w:val="Normal"/>
    <w:link w:val="FootnoteTextChar"/>
    <w:uiPriority w:val="99"/>
    <w:unhideWhenUsed/>
    <w:qFormat/>
    <w:rsid w:val="00644844"/>
    <w:pPr>
      <w:autoSpaceDE/>
      <w:autoSpaceDN/>
      <w:spacing w:before="0" w:after="0"/>
      <w:jc w:val="left"/>
    </w:pPr>
    <w:rPr>
      <w:rFonts w:eastAsia="Times New Roman"/>
      <w:sz w:val="20"/>
      <w:szCs w:val="20"/>
      <w:lang w:val="en-GB"/>
    </w:rPr>
  </w:style>
  <w:style w:type="character" w:customStyle="1" w:styleId="FootnoteTextChar1">
    <w:name w:val="Footnote Text Char1"/>
    <w:basedOn w:val="DefaultParagraphFont"/>
    <w:uiPriority w:val="99"/>
    <w:semiHidden/>
    <w:rsid w:val="00644844"/>
    <w:rPr>
      <w:rFonts w:ascii="Times New Roman" w:eastAsiaTheme="minorEastAsia" w:hAnsi="Times New Roman" w:cs="Times New Roman"/>
      <w:sz w:val="20"/>
      <w:szCs w:val="20"/>
      <w:lang w:val="fr-FR" w:eastAsia="en-GB"/>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2 Char,MAIN CONTENT Char"/>
    <w:basedOn w:val="DefaultParagraphFont"/>
    <w:link w:val="ListParagraph"/>
    <w:uiPriority w:val="34"/>
    <w:locked/>
    <w:rsid w:val="00644844"/>
    <w:rPr>
      <w:rFonts w:ascii="Times New Roman" w:eastAsia="Times New Roman" w:hAnsi="Times New Roman" w:cs="Times New Roman"/>
      <w:sz w:val="24"/>
      <w:szCs w:val="24"/>
      <w:lang w:eastAsia="en-GB"/>
    </w:rPr>
  </w:style>
  <w:style w:type="paragraph" w:styleId="ListParagraph">
    <w:name w:val="List Paragraph"/>
    <w:aliases w:val="Dot pt,Colorful List - Accent 11,No Spacing1,List Paragraph Char Char Char,Indicator Text,Numbered Para 1,Bullet 1,F5 List Paragraph,Bullet Points,List Paragraph12,MAIN CONTENT,Normal numbered,OBC Bullet,EC"/>
    <w:basedOn w:val="Normal"/>
    <w:link w:val="ListParagraphChar"/>
    <w:uiPriority w:val="34"/>
    <w:qFormat/>
    <w:rsid w:val="00644844"/>
    <w:pPr>
      <w:autoSpaceDE/>
      <w:autoSpaceDN/>
      <w:spacing w:before="0" w:after="0"/>
      <w:ind w:left="720"/>
      <w:contextualSpacing/>
      <w:jc w:val="left"/>
    </w:pPr>
    <w:rPr>
      <w:rFonts w:eastAsia="Times New Roman"/>
      <w:lang w:val="en-GB"/>
    </w:rPr>
  </w:style>
  <w:style w:type="paragraph" w:customStyle="1" w:styleId="Considrant">
    <w:name w:val="Considérant"/>
    <w:basedOn w:val="Normal"/>
    <w:rsid w:val="00644844"/>
    <w:pPr>
      <w:numPr>
        <w:numId w:val="1"/>
      </w:numPr>
      <w:autoSpaceDE/>
      <w:autoSpaceDN/>
      <w:spacing w:before="0" w:after="0"/>
    </w:pPr>
    <w:rPr>
      <w:rFonts w:eastAsia="Times New Roman"/>
      <w:lang w:val="en-GB"/>
    </w:rPr>
  </w:style>
  <w:style w:type="paragraph" w:customStyle="1" w:styleId="ConsultationItalic">
    <w:name w:val="Consultation Italic"/>
    <w:basedOn w:val="Normal"/>
    <w:rsid w:val="00644844"/>
    <w:pPr>
      <w:numPr>
        <w:numId w:val="2"/>
      </w:numPr>
      <w:autoSpaceDE/>
      <w:autoSpaceDN/>
      <w:spacing w:before="0" w:after="0" w:line="276" w:lineRule="auto"/>
      <w:jc w:val="left"/>
    </w:pPr>
    <w:rPr>
      <w:rFonts w:eastAsia="Times New Roman"/>
      <w:i/>
      <w:noProof/>
      <w:lang w:val="en-GB" w:eastAsia="de-DE"/>
    </w:rPr>
  </w:style>
  <w:style w:type="character" w:styleId="FootnoteReference">
    <w:name w:val="footnote reference"/>
    <w:aliases w:val="Verdana 11p Regular,hochgestellt,Footnote Reference Number,Footnote Reference_LVL6,Footnote Reference_LVL61,Footnote Reference_LVL62,Footnote Reference_LVL63,Footnote Reference_LVL64,Fußnotenzeichen3,16 Point,Superscript 6 Point"/>
    <w:uiPriority w:val="99"/>
    <w:unhideWhenUsed/>
    <w:qFormat/>
    <w:rsid w:val="00644844"/>
    <w:rPr>
      <w:rFonts w:ascii="Times New Roman" w:hAnsi="Times New Roman" w:cs="Times New Roman" w:hint="default"/>
      <w:vertAlign w:val="superscript"/>
    </w:rPr>
  </w:style>
  <w:style w:type="paragraph" w:customStyle="1" w:styleId="NumPar1">
    <w:name w:val="NumPar 1"/>
    <w:basedOn w:val="Normal"/>
    <w:next w:val="Normal"/>
    <w:rsid w:val="00C01855"/>
    <w:pPr>
      <w:numPr>
        <w:numId w:val="4"/>
      </w:numPr>
      <w:autoSpaceDE/>
      <w:autoSpaceDN/>
      <w:jc w:val="left"/>
    </w:pPr>
    <w:rPr>
      <w:rFonts w:eastAsia="Times New Roman"/>
      <w:lang w:val="en-GB"/>
    </w:rPr>
  </w:style>
  <w:style w:type="paragraph" w:styleId="BalloonText">
    <w:name w:val="Balloon Text"/>
    <w:basedOn w:val="Normal"/>
    <w:link w:val="BalloonTextChar"/>
    <w:uiPriority w:val="99"/>
    <w:semiHidden/>
    <w:unhideWhenUsed/>
    <w:rsid w:val="00C0185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1855"/>
    <w:rPr>
      <w:rFonts w:ascii="Segoe UI" w:eastAsiaTheme="minorEastAsia" w:hAnsi="Segoe UI" w:cs="Segoe UI"/>
      <w:sz w:val="18"/>
      <w:szCs w:val="18"/>
      <w:lang w:val="fr-FR" w:eastAsia="en-GB"/>
    </w:rPr>
  </w:style>
  <w:style w:type="character" w:styleId="CommentReference">
    <w:name w:val="annotation reference"/>
    <w:basedOn w:val="DefaultParagraphFont"/>
    <w:uiPriority w:val="99"/>
    <w:semiHidden/>
    <w:unhideWhenUsed/>
    <w:rsid w:val="007C62D3"/>
    <w:rPr>
      <w:sz w:val="16"/>
      <w:szCs w:val="16"/>
    </w:rPr>
  </w:style>
  <w:style w:type="paragraph" w:styleId="CommentText">
    <w:name w:val="annotation text"/>
    <w:basedOn w:val="Normal"/>
    <w:link w:val="CommentTextChar"/>
    <w:uiPriority w:val="99"/>
    <w:semiHidden/>
    <w:unhideWhenUsed/>
    <w:rsid w:val="007C62D3"/>
    <w:rPr>
      <w:sz w:val="20"/>
      <w:szCs w:val="20"/>
    </w:rPr>
  </w:style>
  <w:style w:type="character" w:customStyle="1" w:styleId="CommentTextChar">
    <w:name w:val="Comment Text Char"/>
    <w:basedOn w:val="DefaultParagraphFont"/>
    <w:link w:val="CommentText"/>
    <w:uiPriority w:val="99"/>
    <w:semiHidden/>
    <w:rsid w:val="007C62D3"/>
    <w:rPr>
      <w:rFonts w:ascii="Times New Roman" w:eastAsiaTheme="minorEastAsia" w:hAnsi="Times New Roman" w:cs="Times New Roman"/>
      <w:sz w:val="20"/>
      <w:szCs w:val="20"/>
      <w:lang w:val="fr-FR" w:eastAsia="en-GB"/>
    </w:rPr>
  </w:style>
  <w:style w:type="paragraph" w:styleId="CommentSubject">
    <w:name w:val="annotation subject"/>
    <w:basedOn w:val="CommentText"/>
    <w:next w:val="CommentText"/>
    <w:link w:val="CommentSubjectChar"/>
    <w:uiPriority w:val="99"/>
    <w:semiHidden/>
    <w:unhideWhenUsed/>
    <w:rsid w:val="007C62D3"/>
    <w:rPr>
      <w:b/>
      <w:bCs/>
    </w:rPr>
  </w:style>
  <w:style w:type="character" w:customStyle="1" w:styleId="CommentSubjectChar">
    <w:name w:val="Comment Subject Char"/>
    <w:basedOn w:val="CommentTextChar"/>
    <w:link w:val="CommentSubject"/>
    <w:uiPriority w:val="99"/>
    <w:semiHidden/>
    <w:rsid w:val="007C62D3"/>
    <w:rPr>
      <w:rFonts w:ascii="Times New Roman" w:eastAsiaTheme="minorEastAsia" w:hAnsi="Times New Roman" w:cs="Times New Roman"/>
      <w:b/>
      <w:bCs/>
      <w:sz w:val="20"/>
      <w:szCs w:val="20"/>
      <w:lang w:val="fr-FR" w:eastAsia="en-GB"/>
    </w:rPr>
  </w:style>
  <w:style w:type="paragraph" w:styleId="Header">
    <w:name w:val="header"/>
    <w:basedOn w:val="Normal"/>
    <w:link w:val="HeaderChar"/>
    <w:uiPriority w:val="99"/>
    <w:unhideWhenUsed/>
    <w:rsid w:val="006A66FC"/>
    <w:pPr>
      <w:tabs>
        <w:tab w:val="center" w:pos="4513"/>
        <w:tab w:val="right" w:pos="9026"/>
      </w:tabs>
      <w:spacing w:before="0" w:after="0"/>
    </w:pPr>
  </w:style>
  <w:style w:type="character" w:customStyle="1" w:styleId="HeaderChar">
    <w:name w:val="Header Char"/>
    <w:basedOn w:val="DefaultParagraphFont"/>
    <w:link w:val="Header"/>
    <w:uiPriority w:val="99"/>
    <w:rsid w:val="006A66FC"/>
    <w:rPr>
      <w:rFonts w:ascii="Times New Roman" w:eastAsiaTheme="minorEastAsia" w:hAnsi="Times New Roman" w:cs="Times New Roman"/>
      <w:sz w:val="24"/>
      <w:szCs w:val="24"/>
      <w:lang w:val="fr-FR" w:eastAsia="en-GB"/>
    </w:rPr>
  </w:style>
  <w:style w:type="paragraph" w:styleId="Footer">
    <w:name w:val="footer"/>
    <w:basedOn w:val="Normal"/>
    <w:link w:val="FooterChar"/>
    <w:uiPriority w:val="99"/>
    <w:unhideWhenUsed/>
    <w:rsid w:val="006A66FC"/>
    <w:pPr>
      <w:tabs>
        <w:tab w:val="center" w:pos="4513"/>
        <w:tab w:val="right" w:pos="9026"/>
      </w:tabs>
      <w:spacing w:before="0" w:after="0"/>
    </w:pPr>
  </w:style>
  <w:style w:type="character" w:customStyle="1" w:styleId="FooterChar">
    <w:name w:val="Footer Char"/>
    <w:basedOn w:val="DefaultParagraphFont"/>
    <w:link w:val="Footer"/>
    <w:uiPriority w:val="99"/>
    <w:rsid w:val="006A66FC"/>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unhideWhenUsed/>
    <w:rsid w:val="00E60A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5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AE65F6-958D-4826-A258-965616F249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7CA1FB-0A97-48C0-8656-63D995B2C36A}">
  <ds:schemaRefs>
    <ds:schemaRef ds:uri="http://schemas.microsoft.com/sharepoint/v3/contenttype/forms"/>
  </ds:schemaRefs>
</ds:datastoreItem>
</file>

<file path=customXml/itemProps3.xml><?xml version="1.0" encoding="utf-8"?>
<ds:datastoreItem xmlns:ds="http://schemas.openxmlformats.org/officeDocument/2006/customXml" ds:itemID="{71E2EC8A-5132-43A9-848E-D7F279620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1914</Words>
  <Characters>10911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2022-03-18T09:42:00Z</dcterms:created>
  <dcterms:modified xsi:type="dcterms:W3CDTF">2022-04-01T10:20:00Z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